
<file path=[Content_Types].xml><?xml version="1.0" encoding="utf-8"?>
<Types xmlns="http://schemas.openxmlformats.org/package/2006/content-types">
  <Default Extension="xml" ContentType="application/xml"/>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2587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D515AB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12191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07.060 </w:t>
            </w:r>
            <w:r>
              <w:rPr>
                <w:rFonts w:ascii="黑体" w:hAnsi="黑体" w:eastAsia="黑体"/>
                <w:sz w:val="21"/>
                <w:szCs w:val="21"/>
              </w:rPr>
              <w:fldChar w:fldCharType="end"/>
            </w:r>
            <w:bookmarkEnd w:id="0"/>
          </w:p>
        </w:tc>
      </w:tr>
      <w:tr w14:paraId="473CD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1849C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CD30A3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A47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C0207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4898D65">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64F5E2D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80C153E">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297BBC6">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20B63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E239E3">
      <w:pPr>
        <w:pStyle w:val="50"/>
        <w:framePr w:w="9639" w:h="6976" w:hRule="exact" w:hSpace="0" w:vSpace="0" w:wrap="around" w:hAnchor="page" w:y="6408"/>
        <w:jc w:val="center"/>
        <w:rPr>
          <w:rFonts w:ascii="黑体" w:hAnsi="黑体" w:eastAsia="黑体"/>
          <w:b w:val="0"/>
          <w:bCs w:val="0"/>
          <w:w w:val="100"/>
        </w:rPr>
      </w:pPr>
    </w:p>
    <w:p w14:paraId="26D3A477">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大气二氧化碳和甲烷本底浓度筛分</w:t>
      </w:r>
      <w:r>
        <w:cr/>
      </w:r>
      <w:r>
        <w:t>技术规范</w:t>
      </w:r>
      <w:r>
        <w:fldChar w:fldCharType="end"/>
      </w:r>
      <w:bookmarkEnd w:id="9"/>
    </w:p>
    <w:p w14:paraId="20592B65">
      <w:pPr>
        <w:framePr w:w="9639" w:h="6974" w:hRule="exact" w:wrap="around" w:vAnchor="page" w:hAnchor="page" w:x="1419" w:y="6408" w:anchorLock="1"/>
        <w:ind w:left="-1418"/>
      </w:pPr>
    </w:p>
    <w:p w14:paraId="17E2841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partition of atmospheric carbon dioxide and methane background concentrations</w:t>
      </w:r>
      <w:r>
        <w:rPr>
          <w:rFonts w:ascii="黑体" w:hAnsi="黑体" w:eastAsia="黑体"/>
          <w:szCs w:val="28"/>
        </w:rPr>
        <w:fldChar w:fldCharType="end"/>
      </w:r>
      <w:bookmarkEnd w:id="10"/>
    </w:p>
    <w:p w14:paraId="67F1CA8E">
      <w:pPr>
        <w:framePr w:w="9639" w:h="6974" w:hRule="exact" w:wrap="around" w:vAnchor="page" w:hAnchor="page" w:x="1419" w:y="6408" w:anchorLock="1"/>
        <w:spacing w:line="760" w:lineRule="exact"/>
        <w:ind w:left="-1418"/>
      </w:pPr>
    </w:p>
    <w:p w14:paraId="41F49AE1">
      <w:pPr>
        <w:pStyle w:val="125"/>
        <w:framePr w:w="9639" w:h="6974" w:hRule="exact" w:wrap="around" w:vAnchor="page" w:hAnchor="page" w:x="1419" w:y="6408" w:anchorLock="1"/>
        <w:textAlignment w:val="bottom"/>
        <w:rPr>
          <w:rFonts w:eastAsia="黑体"/>
          <w:szCs w:val="28"/>
        </w:rPr>
      </w:pPr>
    </w:p>
    <w:p w14:paraId="5FE675C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741AE3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DC6043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09BC82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35B7AA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77C5E3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2E16F3C">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52F5AB2">
      <w:pPr>
        <w:pStyle w:val="91"/>
        <w:spacing w:after="468"/>
      </w:pPr>
      <w:bookmarkStart w:id="21" w:name="BookMark1"/>
      <w:bookmarkStart w:id="22" w:name="_Toc130808098"/>
      <w:r>
        <w:rPr>
          <w:rFonts w:hint="eastAsia"/>
          <w:spacing w:val="320"/>
        </w:rPr>
        <w:t>目</w:t>
      </w:r>
      <w:r>
        <w:rPr>
          <w:rFonts w:hint="eastAsia"/>
        </w:rPr>
        <w:t>次</w:t>
      </w:r>
    </w:p>
    <w:p w14:paraId="6B71B1E9">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"_Toc177025923" </w:instrText>
      </w:r>
      <w:r>
        <w:fldChar w:fldCharType="separate"/>
      </w:r>
      <w:r>
        <w:rPr>
          <w:rStyle w:val="32"/>
          <w:spacing w:val="320"/>
        </w:rPr>
        <w:t>前</w:t>
      </w:r>
      <w:r>
        <w:rPr>
          <w:rStyle w:val="32"/>
        </w:rPr>
        <w:t>言</w:t>
      </w:r>
      <w:r>
        <w:tab/>
      </w:r>
      <w:r>
        <w:fldChar w:fldCharType="begin"/>
      </w:r>
      <w:r>
        <w:instrText xml:space="preserve"> PAGEREF _Toc177025923 \h </w:instrText>
      </w:r>
      <w:r>
        <w:fldChar w:fldCharType="separate"/>
      </w:r>
      <w:r>
        <w:t>II</w:t>
      </w:r>
      <w:r>
        <w:fldChar w:fldCharType="end"/>
      </w:r>
      <w:r>
        <w:fldChar w:fldCharType="end"/>
      </w:r>
    </w:p>
    <w:p w14:paraId="03C32066">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"_Toc177025924" </w:instrText>
      </w:r>
      <w:r>
        <w:fldChar w:fldCharType="separate"/>
      </w:r>
      <w:r>
        <w:rPr>
          <w:rStyle w:val="32"/>
          <w:spacing w:val="320"/>
        </w:rPr>
        <w:t>引</w:t>
      </w:r>
      <w:r>
        <w:rPr>
          <w:rStyle w:val="32"/>
        </w:rPr>
        <w:t>言</w:t>
      </w:r>
      <w:r>
        <w:tab/>
      </w:r>
      <w:r>
        <w:fldChar w:fldCharType="begin"/>
      </w:r>
      <w:r>
        <w:instrText xml:space="preserve"> PAGEREF _Toc177025924 \h </w:instrText>
      </w:r>
      <w:r>
        <w:fldChar w:fldCharType="separate"/>
      </w:r>
      <w:r>
        <w:t>III</w:t>
      </w:r>
      <w:r>
        <w:fldChar w:fldCharType="end"/>
      </w:r>
      <w:r>
        <w:fldChar w:fldCharType="end"/>
      </w:r>
    </w:p>
    <w:p w14:paraId="6FBE9A21">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"_Toc177025925" </w:instrText>
      </w:r>
      <w:r>
        <w:fldChar w:fldCharType="separate"/>
      </w:r>
      <w:r>
        <w:rPr>
          <w:rStyle w:val="32"/>
        </w:rPr>
        <w:t>1 范围</w:t>
      </w:r>
      <w:r>
        <w:tab/>
      </w:r>
      <w:r>
        <w:fldChar w:fldCharType="begin"/>
      </w:r>
      <w:r>
        <w:instrText xml:space="preserve"> PAGEREF _Toc177025925 \h </w:instrText>
      </w:r>
      <w:r>
        <w:fldChar w:fldCharType="separate"/>
      </w:r>
      <w:r>
        <w:t>1</w:t>
      </w:r>
      <w:r>
        <w:fldChar w:fldCharType="end"/>
      </w:r>
      <w:r>
        <w:fldChar w:fldCharType="end"/>
      </w:r>
    </w:p>
    <w:p w14:paraId="7E2BE337">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"_Toc177025926" </w:instrText>
      </w:r>
      <w:r>
        <w:fldChar w:fldCharType="separate"/>
      </w:r>
      <w:r>
        <w:rPr>
          <w:rStyle w:val="32"/>
        </w:rPr>
        <w:t>2 规范性引用文件</w:t>
      </w:r>
      <w:r>
        <w:tab/>
      </w:r>
      <w:r>
        <w:fldChar w:fldCharType="begin"/>
      </w:r>
      <w:r>
        <w:instrText xml:space="preserve"> PAGEREF _Toc177025926 \h </w:instrText>
      </w:r>
      <w:r>
        <w:fldChar w:fldCharType="separate"/>
      </w:r>
      <w:r>
        <w:t>1</w:t>
      </w:r>
      <w:r>
        <w:fldChar w:fldCharType="end"/>
      </w:r>
      <w:r>
        <w:fldChar w:fldCharType="end"/>
      </w:r>
    </w:p>
    <w:p w14:paraId="74B89F4D">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"_Toc177025927" </w:instrText>
      </w:r>
      <w:r>
        <w:fldChar w:fldCharType="separate"/>
      </w:r>
      <w:r>
        <w:rPr>
          <w:rStyle w:val="32"/>
        </w:rPr>
        <w:t>3 术语和定义</w:t>
      </w:r>
      <w:r>
        <w:tab/>
      </w:r>
      <w:r>
        <w:fldChar w:fldCharType="begin"/>
      </w:r>
      <w:r>
        <w:instrText xml:space="preserve"> PAGEREF _Toc177025927 \h </w:instrText>
      </w:r>
      <w:r>
        <w:fldChar w:fldCharType="separate"/>
      </w:r>
      <w:r>
        <w:t>1</w:t>
      </w:r>
      <w:r>
        <w:fldChar w:fldCharType="end"/>
      </w:r>
      <w:r>
        <w:fldChar w:fldCharType="end"/>
      </w:r>
    </w:p>
    <w:p w14:paraId="69C44395">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"_Toc177025928" </w:instrText>
      </w:r>
      <w:r>
        <w:fldChar w:fldCharType="separate"/>
      </w:r>
      <w:r>
        <w:rPr>
          <w:rStyle w:val="32"/>
        </w:rPr>
        <w:t>4 资料收集和处理</w:t>
      </w:r>
      <w:r>
        <w:tab/>
      </w:r>
      <w:r>
        <w:fldChar w:fldCharType="begin"/>
      </w:r>
      <w:r>
        <w:instrText xml:space="preserve"> PAGEREF _Toc177025928 \h </w:instrText>
      </w:r>
      <w:r>
        <w:fldChar w:fldCharType="separate"/>
      </w:r>
      <w:r>
        <w:t>2</w:t>
      </w:r>
      <w:r>
        <w:fldChar w:fldCharType="end"/>
      </w:r>
      <w:r>
        <w:fldChar w:fldCharType="end"/>
      </w:r>
    </w:p>
    <w:p w14:paraId="296199A6">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"_Toc177025929" </w:instrText>
      </w:r>
      <w:r>
        <w:fldChar w:fldCharType="separate"/>
      </w:r>
      <w:r>
        <w:rPr>
          <w:rStyle w:val="32"/>
        </w:rPr>
        <w:t>5 本底筛分方法</w:t>
      </w:r>
      <w:r>
        <w:tab/>
      </w:r>
      <w:r>
        <w:fldChar w:fldCharType="begin"/>
      </w:r>
      <w:r>
        <w:instrText xml:space="preserve"> PAGEREF _Toc177025929 \h </w:instrText>
      </w:r>
      <w:r>
        <w:fldChar w:fldCharType="separate"/>
      </w:r>
      <w:r>
        <w:t>5</w:t>
      </w:r>
      <w:r>
        <w:fldChar w:fldCharType="end"/>
      </w:r>
      <w:r>
        <w:fldChar w:fldCharType="end"/>
      </w:r>
    </w:p>
    <w:p w14:paraId="20504C13">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"_Toc177025930" </w:instrText>
      </w:r>
      <w:r>
        <w:fldChar w:fldCharType="separate"/>
      </w:r>
      <w:r>
        <w:rPr>
          <w:rStyle w:val="32"/>
        </w:rPr>
        <w:t>6 筛分方法选择</w:t>
      </w:r>
      <w:r>
        <w:tab/>
      </w:r>
      <w:r>
        <w:fldChar w:fldCharType="begin"/>
      </w:r>
      <w:r>
        <w:instrText xml:space="preserve"> PAGEREF _Toc177025930 \h </w:instrText>
      </w:r>
      <w:r>
        <w:fldChar w:fldCharType="separate"/>
      </w:r>
      <w:r>
        <w:t>6</w:t>
      </w:r>
      <w:r>
        <w:fldChar w:fldCharType="end"/>
      </w:r>
      <w:r>
        <w:fldChar w:fldCharType="end"/>
      </w:r>
    </w:p>
    <w:p w14:paraId="4383356A">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"_Toc177025931" </w:instrText>
      </w:r>
      <w:r>
        <w:fldChar w:fldCharType="separate"/>
      </w:r>
      <w:r>
        <w:rPr>
          <w:rStyle w:val="32"/>
        </w:rPr>
        <w:t>7 筛分流程</w:t>
      </w:r>
      <w:r>
        <w:tab/>
      </w:r>
      <w:r>
        <w:fldChar w:fldCharType="begin"/>
      </w:r>
      <w:r>
        <w:instrText xml:space="preserve"> PAGEREF _Toc177025931 \h </w:instrText>
      </w:r>
      <w:r>
        <w:fldChar w:fldCharType="separate"/>
      </w:r>
      <w:r>
        <w:t>7</w:t>
      </w:r>
      <w:r>
        <w:fldChar w:fldCharType="end"/>
      </w:r>
      <w:r>
        <w:fldChar w:fldCharType="end"/>
      </w:r>
    </w:p>
    <w:p w14:paraId="1BA50C69">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"_Toc177025932" </w:instrText>
      </w:r>
      <w:r>
        <w:fldChar w:fldCharType="separate"/>
      </w:r>
      <w:r>
        <w:rPr>
          <w:rStyle w:val="32"/>
          <w:spacing w:val="100"/>
        </w:rPr>
        <w:t>附录A</w:t>
      </w:r>
      <w:r>
        <w:rPr>
          <w:rStyle w:val="32"/>
        </w:rPr>
        <w:t xml:space="preserve"> （资料性） 本底筛分流程</w:t>
      </w:r>
      <w:r>
        <w:tab/>
      </w:r>
      <w:r>
        <w:fldChar w:fldCharType="begin"/>
      </w:r>
      <w:r>
        <w:instrText xml:space="preserve"> PAGEREF _Toc177025932 \h </w:instrText>
      </w:r>
      <w:r>
        <w:fldChar w:fldCharType="separate"/>
      </w:r>
      <w:r>
        <w:t>8</w:t>
      </w:r>
      <w:r>
        <w:fldChar w:fldCharType="end"/>
      </w:r>
      <w:r>
        <w:fldChar w:fldCharType="end"/>
      </w:r>
    </w:p>
    <w:p w14:paraId="25D9D703">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"_Toc177025933" </w:instrText>
      </w:r>
      <w:r>
        <w:fldChar w:fldCharType="separate"/>
      </w:r>
      <w:r>
        <w:rPr>
          <w:rStyle w:val="32"/>
          <w:spacing w:val="100"/>
        </w:rPr>
        <w:t>附录B</w:t>
      </w:r>
      <w:r>
        <w:rPr>
          <w:rStyle w:val="32"/>
        </w:rPr>
        <w:t xml:space="preserve"> （资料性） 观测站点信息</w:t>
      </w:r>
      <w:r>
        <w:tab/>
      </w:r>
      <w:r>
        <w:fldChar w:fldCharType="begin"/>
      </w:r>
      <w:r>
        <w:instrText xml:space="preserve"> PAGEREF _Toc177025933 \h </w:instrText>
      </w:r>
      <w:r>
        <w:fldChar w:fldCharType="separate"/>
      </w:r>
      <w:r>
        <w:t>9</w:t>
      </w:r>
      <w:r>
        <w:fldChar w:fldCharType="end"/>
      </w:r>
      <w:r>
        <w:fldChar w:fldCharType="end"/>
      </w:r>
    </w:p>
    <w:p w14:paraId="311A50C7">
      <w:pPr>
        <w:pStyle w:val="19"/>
        <w:tabs>
          <w:tab w:val="right" w:leader="dot" w:pos="9344"/>
        </w:tabs>
        <w:rPr>
          <w:rFonts w:asciiTheme="minorHAnsi" w:hAnsiTheme="minorHAnsi" w:eastAsiaTheme="minorEastAsia" w:cstheme="minorBidi"/>
          <w:szCs w:val="22"/>
        </w:rPr>
      </w:pPr>
      <w:r>
        <w:fldChar w:fldCharType="begin"/>
      </w:r>
      <w:r>
        <w:instrText xml:space="preserve"> HYPERLINK \l "_Toc177025934" </w:instrText>
      </w:r>
      <w:r>
        <w:fldChar w:fldCharType="separate"/>
      </w:r>
      <w:r>
        <w:rPr>
          <w:rStyle w:val="32"/>
          <w:spacing w:val="105"/>
        </w:rPr>
        <w:t>参考文</w:t>
      </w:r>
      <w:r>
        <w:rPr>
          <w:rStyle w:val="32"/>
        </w:rPr>
        <w:t>献</w:t>
      </w:r>
      <w:r>
        <w:tab/>
      </w:r>
      <w:r>
        <w:fldChar w:fldCharType="begin"/>
      </w:r>
      <w:r>
        <w:instrText xml:space="preserve"> PAGEREF _Toc177025934 \h </w:instrText>
      </w:r>
      <w:r>
        <w:fldChar w:fldCharType="separate"/>
      </w:r>
      <w:r>
        <w:t>10</w:t>
      </w:r>
      <w:r>
        <w:fldChar w:fldCharType="end"/>
      </w:r>
      <w:r>
        <w:fldChar w:fldCharType="end"/>
      </w:r>
    </w:p>
    <w:p w14:paraId="176626BA">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57768BC">
      <w:pPr>
        <w:pStyle w:val="89"/>
        <w:spacing w:before="900" w:after="468"/>
      </w:pPr>
      <w:bookmarkStart w:id="23" w:name="_Toc177025923"/>
      <w:bookmarkStart w:id="24" w:name="BookMark2"/>
      <w:r>
        <w:rPr>
          <w:spacing w:val="320"/>
        </w:rPr>
        <w:t>前</w:t>
      </w:r>
      <w:r>
        <w:t>言</w:t>
      </w:r>
      <w:bookmarkEnd w:id="22"/>
      <w:bookmarkEnd w:id="23"/>
    </w:p>
    <w:p w14:paraId="40F9D6FA">
      <w:pPr>
        <w:pStyle w:val="56"/>
        <w:ind w:firstLine="420"/>
        <w:rPr>
          <w:rFonts w:ascii="Times New Roman"/>
        </w:rPr>
      </w:pPr>
      <w:r>
        <w:rPr>
          <w:rFonts w:ascii="Times New Roman"/>
        </w:rPr>
        <w:t>本文件按照GB/T 1.1—2020《标准化工作导则  第1部分：标准化文件的结构和起草规则》的规定起草。</w:t>
      </w:r>
    </w:p>
    <w:p w14:paraId="4BB91720">
      <w:pPr>
        <w:pStyle w:val="56"/>
        <w:ind w:firstLine="420"/>
        <w:rPr>
          <w:rFonts w:ascii="Times New Roman"/>
        </w:rPr>
      </w:pPr>
      <w:r>
        <w:rPr>
          <w:rFonts w:ascii="Times New Roman"/>
        </w:rPr>
        <w:t>请注意本文件的某些内容可能涉及专利。本文件的发布机构不承担识别专利的责任。</w:t>
      </w:r>
    </w:p>
    <w:p w14:paraId="16B90C75">
      <w:pPr>
        <w:pStyle w:val="56"/>
        <w:ind w:firstLine="420"/>
      </w:pPr>
      <w:r>
        <w:rPr>
          <w:rFonts w:ascii="Times New Roman"/>
        </w:rPr>
        <w:t>本文件由江苏省气象</w:t>
      </w:r>
      <w:r>
        <w:rPr>
          <w:rFonts w:hint="eastAsia"/>
        </w:rPr>
        <w:t>局提出。</w:t>
      </w:r>
    </w:p>
    <w:p w14:paraId="5A38F3D0">
      <w:pPr>
        <w:pStyle w:val="56"/>
        <w:ind w:firstLine="420"/>
      </w:pPr>
      <w:r>
        <w:rPr>
          <w:rFonts w:ascii="Times New Roman"/>
          <w:bCs/>
          <w:szCs w:val="21"/>
        </w:rPr>
        <w:t>本文件由江苏省气象标准化</w:t>
      </w:r>
      <w:r>
        <w:rPr>
          <w:rFonts w:hint="eastAsia" w:ascii="Times New Roman"/>
          <w:bCs/>
          <w:szCs w:val="21"/>
        </w:rPr>
        <w:t>技术</w:t>
      </w:r>
      <w:r>
        <w:rPr>
          <w:rFonts w:ascii="Times New Roman"/>
          <w:bCs/>
          <w:szCs w:val="21"/>
        </w:rPr>
        <w:t>委员会归口</w:t>
      </w:r>
      <w:bookmarkStart w:id="86" w:name="_GoBack"/>
      <w:bookmarkEnd w:id="86"/>
      <w:r>
        <w:rPr>
          <w:rFonts w:hint="eastAsia"/>
        </w:rPr>
        <w:t>。</w:t>
      </w:r>
    </w:p>
    <w:p w14:paraId="55EE565E">
      <w:pPr>
        <w:pStyle w:val="56"/>
        <w:ind w:firstLine="420"/>
      </w:pPr>
      <w:r>
        <w:rPr>
          <w:rFonts w:hint="eastAsia"/>
        </w:rPr>
        <w:t>本文件起草单位：江苏省气候中心、江苏省气象探测中心。</w:t>
      </w:r>
    </w:p>
    <w:p w14:paraId="33742BE4">
      <w:pPr>
        <w:pStyle w:val="56"/>
        <w:ind w:firstLine="420"/>
      </w:pPr>
      <w:r>
        <w:rPr>
          <w:rFonts w:hint="eastAsia"/>
        </w:rPr>
        <w:t>本文件主要起草人：陈燕、惠品宏、徐家平、徐萌、沈瑱、李崇志、韦芬芬</w:t>
      </w:r>
      <w:r>
        <w:t>、</w:t>
      </w:r>
      <w:r>
        <w:rPr>
          <w:rFonts w:hint="eastAsia"/>
        </w:rPr>
        <w:t>周晨、乔贺、</w:t>
      </w:r>
      <w:r>
        <w:t>徐</w:t>
      </w:r>
      <w:r>
        <w:rPr>
          <w:rFonts w:hint="eastAsia"/>
        </w:rPr>
        <w:t>进。</w:t>
      </w:r>
    </w:p>
    <w:p w14:paraId="1F6583FD">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028E03DE">
      <w:pPr>
        <w:pStyle w:val="89"/>
        <w:spacing w:after="468"/>
      </w:pPr>
      <w:bookmarkStart w:id="25" w:name="_Toc130808099"/>
      <w:bookmarkStart w:id="26" w:name="_Toc177025924"/>
      <w:bookmarkStart w:id="27" w:name="BookMark3"/>
      <w:r>
        <w:rPr>
          <w:spacing w:val="320"/>
        </w:rPr>
        <w:t>引</w:t>
      </w:r>
      <w:r>
        <w:t>言</w:t>
      </w:r>
      <w:bookmarkEnd w:id="25"/>
      <w:bookmarkEnd w:id="26"/>
    </w:p>
    <w:p w14:paraId="1D3716EB">
      <w:pPr>
        <w:pStyle w:val="56"/>
        <w:ind w:firstLine="420"/>
      </w:pPr>
      <w:r>
        <w:rPr>
          <w:rFonts w:hint="eastAsia"/>
        </w:rPr>
        <w:t>实现碳达峰碳中和是一场广泛而深刻的经济社会系统性变革，掌握温室气体本底浓度及其变化情况，有助于客观、准确地测算区域温室气体源汇总量</w:t>
      </w:r>
      <w:r>
        <w:t>及</w:t>
      </w:r>
      <w:r>
        <w:rPr>
          <w:rFonts w:hint="eastAsia"/>
        </w:rPr>
        <w:t>变化，是实现碳达峰碳中和的重要基础。</w:t>
      </w:r>
    </w:p>
    <w:p w14:paraId="657702D9">
      <w:pPr>
        <w:pStyle w:val="56"/>
        <w:ind w:firstLine="420"/>
      </w:pPr>
      <w:r>
        <w:rPr>
          <w:rFonts w:hint="eastAsia"/>
        </w:rPr>
        <w:t>为规范我省区域大气二氧化碳和甲烷本底浓度筛分，特制定本标准。</w:t>
      </w:r>
    </w:p>
    <w:p w14:paraId="21B528A2">
      <w:pPr>
        <w:pStyle w:val="56"/>
        <w:ind w:firstLine="420"/>
      </w:pPr>
    </w:p>
    <w:p w14:paraId="6E45B67A">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14:paraId="052602A3">
      <w:pPr>
        <w:spacing w:line="20" w:lineRule="exact"/>
        <w:jc w:val="center"/>
        <w:rPr>
          <w:rFonts w:ascii="黑体" w:hAnsi="黑体" w:eastAsia="黑体"/>
          <w:sz w:val="32"/>
          <w:szCs w:val="32"/>
        </w:rPr>
      </w:pPr>
      <w:bookmarkStart w:id="28" w:name="BookMark4"/>
    </w:p>
    <w:p w14:paraId="1E3FD227">
      <w:pPr>
        <w:spacing w:line="20" w:lineRule="exact"/>
        <w:jc w:val="center"/>
        <w:rPr>
          <w:rFonts w:ascii="黑体" w:hAnsi="黑体" w:eastAsia="黑体"/>
          <w:sz w:val="32"/>
          <w:szCs w:val="32"/>
        </w:rPr>
      </w:pPr>
    </w:p>
    <w:sdt>
      <w:sdtPr>
        <w:tag w:val="NEW_STAND_NAME"/>
        <w:id w:val="595910757"/>
        <w:lock w:val="sdtLocked"/>
        <w:placeholder>
          <w:docPart w:val="CCBAB912150E48B49CFC3C50D8CE8B36"/>
        </w:placeholder>
      </w:sdtPr>
      <w:sdtContent>
        <w:p w14:paraId="33CCC184">
          <w:pPr>
            <w:pStyle w:val="177"/>
            <w:spacing w:before="3" w:beforeLines="1" w:after="3" w:afterLines="1"/>
          </w:pPr>
          <w:bookmarkStart w:id="29" w:name="NEW_STAND_NAME"/>
          <w:r>
            <w:rPr>
              <w:rFonts w:hint="eastAsia"/>
            </w:rPr>
            <w:t>大气二氧化碳和甲烷本底浓度筛分</w:t>
          </w:r>
        </w:p>
        <w:p w14:paraId="3E1FC750">
          <w:pPr>
            <w:pStyle w:val="177"/>
            <w:spacing w:before="3" w:beforeLines="1" w:after="680"/>
          </w:pPr>
          <w:r>
            <w:rPr>
              <w:rFonts w:hint="eastAsia"/>
            </w:rPr>
            <w:t>技术规范</w:t>
          </w:r>
        </w:p>
      </w:sdtContent>
    </w:sdt>
    <w:bookmarkEnd w:id="29"/>
    <w:p w14:paraId="642E11F1">
      <w:pPr>
        <w:pStyle w:val="104"/>
        <w:spacing w:before="312" w:after="312"/>
      </w:pPr>
      <w:bookmarkStart w:id="30" w:name="_Toc130808100"/>
      <w:bookmarkStart w:id="31" w:name="_Toc17233333"/>
      <w:bookmarkStart w:id="32" w:name="_Toc97191423"/>
      <w:bookmarkStart w:id="33" w:name="_Toc177025925"/>
      <w:bookmarkStart w:id="34" w:name="_Toc17233325"/>
      <w:bookmarkStart w:id="35" w:name="_Toc24884218"/>
      <w:bookmarkStart w:id="36" w:name="_Toc24884211"/>
      <w:bookmarkStart w:id="37" w:name="_Toc26718930"/>
      <w:bookmarkStart w:id="38" w:name="_Toc26648465"/>
      <w:bookmarkStart w:id="39" w:name="_Toc26986530"/>
      <w:bookmarkStart w:id="40" w:name="_Toc26986771"/>
      <w:r>
        <w:rPr>
          <w:rFonts w:hint="eastAsia"/>
        </w:rPr>
        <w:t>范围</w:t>
      </w:r>
      <w:bookmarkEnd w:id="30"/>
      <w:bookmarkEnd w:id="31"/>
      <w:bookmarkEnd w:id="32"/>
      <w:bookmarkEnd w:id="33"/>
      <w:bookmarkEnd w:id="34"/>
      <w:bookmarkEnd w:id="35"/>
      <w:bookmarkEnd w:id="36"/>
      <w:bookmarkEnd w:id="37"/>
      <w:bookmarkEnd w:id="38"/>
      <w:bookmarkEnd w:id="39"/>
      <w:bookmarkEnd w:id="40"/>
    </w:p>
    <w:p w14:paraId="56732823">
      <w:pPr>
        <w:pStyle w:val="56"/>
        <w:ind w:firstLine="420"/>
      </w:pPr>
      <w:bookmarkStart w:id="41" w:name="_Toc17233326"/>
      <w:bookmarkStart w:id="42" w:name="_Toc24884212"/>
      <w:bookmarkStart w:id="43" w:name="_Toc24884219"/>
      <w:bookmarkStart w:id="44" w:name="_Toc26648466"/>
      <w:bookmarkStart w:id="45" w:name="_Toc17233334"/>
      <w:r>
        <w:rPr>
          <w:rFonts w:hint="eastAsia"/>
        </w:rPr>
        <w:t>本文件规定了大气二氧化碳、甲烷的本底浓度筛分所需的资料、筛分方法、筛分方案选择、</w:t>
      </w:r>
      <w:r>
        <w:t>筛分流程</w:t>
      </w:r>
      <w:r>
        <w:rPr>
          <w:rFonts w:hint="eastAsia"/>
        </w:rPr>
        <w:t>的要求。</w:t>
      </w:r>
    </w:p>
    <w:p w14:paraId="1AD79B89">
      <w:pPr>
        <w:pStyle w:val="56"/>
        <w:ind w:firstLine="420"/>
      </w:pPr>
      <w:r>
        <w:rPr>
          <w:rFonts w:hint="eastAsia"/>
        </w:rPr>
        <w:t>本文件适用于气象、生态、环境等行业在受人为或自然源影响的区域开展二氧化碳、甲烷的本底浓度筛分和数据处理,其他行业可参考本文件。</w:t>
      </w:r>
    </w:p>
    <w:p w14:paraId="5C76A1EC">
      <w:pPr>
        <w:pStyle w:val="104"/>
        <w:spacing w:before="312" w:after="312"/>
      </w:pPr>
      <w:bookmarkStart w:id="46" w:name="_Toc26718931"/>
      <w:bookmarkStart w:id="47" w:name="_Toc177025926"/>
      <w:bookmarkStart w:id="48" w:name="_Toc97191424"/>
      <w:bookmarkStart w:id="49" w:name="_Toc26986531"/>
      <w:bookmarkStart w:id="50" w:name="_Toc130808101"/>
      <w:bookmarkStart w:id="51" w:name="_Toc26986772"/>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9EC2B5D9E873421F9CE5261E7848F7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E2EBBB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C03ED9">
      <w:pPr>
        <w:pStyle w:val="230"/>
        <w:rPr>
          <w:rFonts w:ascii="Times New Roman"/>
        </w:rPr>
      </w:pPr>
      <w:r>
        <w:rPr>
          <w:rFonts w:hint="eastAsia" w:ascii="Times New Roman"/>
        </w:rPr>
        <w:t>GB/T 3840  制定</w:t>
      </w:r>
      <w:r>
        <w:rPr>
          <w:rFonts w:ascii="Times New Roman"/>
        </w:rPr>
        <w:t>地方大气污染物排放标准的技术方法</w:t>
      </w:r>
    </w:p>
    <w:p w14:paraId="6C9331F2">
      <w:pPr>
        <w:pStyle w:val="230"/>
        <w:rPr>
          <w:rFonts w:ascii="Times New Roman"/>
        </w:rPr>
      </w:pPr>
      <w:r>
        <w:rPr>
          <w:rFonts w:hint="eastAsia" w:ascii="Times New Roman"/>
        </w:rPr>
        <w:t>G</w:t>
      </w:r>
      <w:r>
        <w:rPr>
          <w:rFonts w:ascii="Times New Roman"/>
        </w:rPr>
        <w:t xml:space="preserve">B/T 35221 </w:t>
      </w:r>
      <w:r>
        <w:rPr>
          <w:rFonts w:hint="eastAsia" w:ascii="Times New Roman"/>
        </w:rPr>
        <w:t>地面</w:t>
      </w:r>
      <w:r>
        <w:rPr>
          <w:rFonts w:ascii="Times New Roman"/>
        </w:rPr>
        <w:t>气象观测规范</w:t>
      </w:r>
      <w:r>
        <w:rPr>
          <w:rFonts w:hint="eastAsia" w:ascii="Times New Roman"/>
        </w:rPr>
        <w:t xml:space="preserve"> 总则</w:t>
      </w:r>
    </w:p>
    <w:p w14:paraId="65EFFD7C">
      <w:pPr>
        <w:pStyle w:val="230"/>
        <w:rPr>
          <w:rFonts w:ascii="Times New Roman"/>
        </w:rPr>
      </w:pPr>
      <w:r>
        <w:rPr>
          <w:rFonts w:ascii="Times New Roman"/>
        </w:rPr>
        <w:t>GB/T 35227 地面气象观测规范 风向和风速</w:t>
      </w:r>
    </w:p>
    <w:p w14:paraId="1BD57446">
      <w:pPr>
        <w:pStyle w:val="230"/>
        <w:rPr>
          <w:rFonts w:ascii="Times New Roman"/>
        </w:rPr>
      </w:pPr>
      <w:r>
        <w:rPr>
          <w:rFonts w:ascii="Times New Roman"/>
        </w:rPr>
        <w:t>QX/T 118   地面气象观测资料质量控制</w:t>
      </w:r>
    </w:p>
    <w:p w14:paraId="71E350C9">
      <w:pPr>
        <w:pStyle w:val="230"/>
        <w:rPr>
          <w:rFonts w:ascii="Times New Roman"/>
        </w:rPr>
      </w:pPr>
      <w:r>
        <w:rPr>
          <w:rFonts w:ascii="Times New Roman"/>
        </w:rPr>
        <w:t>QX/T 174   大气成分</w:t>
      </w:r>
      <w:r>
        <w:rPr>
          <w:rFonts w:hint="eastAsia" w:ascii="Times New Roman"/>
        </w:rPr>
        <w:t>站</w:t>
      </w:r>
      <w:r>
        <w:rPr>
          <w:rFonts w:ascii="Times New Roman"/>
        </w:rPr>
        <w:t>选址要求</w:t>
      </w:r>
    </w:p>
    <w:p w14:paraId="622C6946">
      <w:pPr>
        <w:pStyle w:val="104"/>
        <w:spacing w:before="312" w:after="312"/>
      </w:pPr>
      <w:bookmarkStart w:id="52" w:name="_Toc97191425"/>
      <w:bookmarkStart w:id="53" w:name="_Toc130808102"/>
      <w:bookmarkStart w:id="54" w:name="_Toc177025927"/>
      <w:r>
        <w:rPr>
          <w:rFonts w:hint="eastAsia"/>
          <w:szCs w:val="21"/>
        </w:rPr>
        <w:t>术语和定义</w:t>
      </w:r>
      <w:bookmarkEnd w:id="52"/>
      <w:bookmarkEnd w:id="53"/>
      <w:bookmarkEnd w:id="54"/>
    </w:p>
    <w:sdt>
      <w:sdtPr>
        <w:id w:val="-1909835108"/>
        <w:placeholder>
          <w:docPart w:val="C65564B183954A1A911FFD15404958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CF8628">
          <w:pPr>
            <w:pStyle w:val="56"/>
            <w:ind w:firstLine="420"/>
          </w:pPr>
          <w:bookmarkStart w:id="55" w:name="_Toc26986532"/>
          <w:bookmarkEnd w:id="55"/>
          <w:r>
            <w:t>下列术语和定义适用于本文件。</w:t>
          </w:r>
        </w:p>
      </w:sdtContent>
    </w:sdt>
    <w:p w14:paraId="205AA3AB">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 xml:space="preserve">温室气体 </w:t>
      </w:r>
      <w:r>
        <w:rPr>
          <w:rFonts w:ascii="Times New Roman" w:eastAsia="黑体"/>
        </w:rPr>
        <w:t>greenhouse gas</w:t>
      </w:r>
    </w:p>
    <w:p w14:paraId="0FC015BD">
      <w:pPr>
        <w:pStyle w:val="56"/>
        <w:ind w:firstLine="420"/>
        <w:rPr>
          <w:rFonts w:ascii="Times New Roman"/>
        </w:rPr>
      </w:pPr>
      <w:r>
        <w:rPr>
          <w:rFonts w:ascii="Times New Roman"/>
        </w:rPr>
        <w:t>大气中能够吸收红外辐射的气体成分，主要包括二氧化碳（CO</w:t>
      </w:r>
      <w:r>
        <w:rPr>
          <w:rFonts w:ascii="Times New Roman"/>
          <w:vertAlign w:val="subscript"/>
        </w:rPr>
        <w:t>2</w:t>
      </w:r>
      <w:r>
        <w:rPr>
          <w:rFonts w:ascii="Times New Roman"/>
        </w:rPr>
        <w:t>）、甲烷（CH</w:t>
      </w:r>
      <w:r>
        <w:rPr>
          <w:rFonts w:ascii="Times New Roman"/>
          <w:vertAlign w:val="subscript"/>
        </w:rPr>
        <w:t>4</w:t>
      </w:r>
      <w:r>
        <w:rPr>
          <w:rFonts w:ascii="Times New Roman"/>
        </w:rPr>
        <w:t>）、 氧化亚氮（N</w:t>
      </w:r>
      <w:r>
        <w:rPr>
          <w:rFonts w:ascii="Times New Roman"/>
          <w:vertAlign w:val="subscript"/>
        </w:rPr>
        <w:t>2</w:t>
      </w:r>
      <w:r>
        <w:rPr>
          <w:rFonts w:ascii="Times New Roman"/>
        </w:rPr>
        <w:t>O）、水汽（H</w:t>
      </w:r>
      <w:r>
        <w:rPr>
          <w:rFonts w:ascii="Times New Roman"/>
          <w:vertAlign w:val="subscript"/>
        </w:rPr>
        <w:t>2</w:t>
      </w:r>
      <w:r>
        <w:rPr>
          <w:rFonts w:ascii="Times New Roman"/>
        </w:rPr>
        <w:t>O）、氢氟碳化物（HFCs）、全氟碳化物（PFCs）、六氟化硫（SF</w:t>
      </w:r>
      <w:r>
        <w:rPr>
          <w:rFonts w:ascii="Times New Roman"/>
          <w:vertAlign w:val="subscript"/>
        </w:rPr>
        <w:t>6</w:t>
      </w:r>
      <w:r>
        <w:rPr>
          <w:rFonts w:ascii="Times New Roman"/>
        </w:rPr>
        <w:t>） 和臭氧（O</w:t>
      </w:r>
      <w:r>
        <w:rPr>
          <w:rFonts w:ascii="Times New Roman"/>
          <w:vertAlign w:val="subscript"/>
        </w:rPr>
        <w:t>3</w:t>
      </w:r>
      <w:r>
        <w:rPr>
          <w:rFonts w:ascii="Times New Roman"/>
        </w:rPr>
        <w:t>）等。</w:t>
      </w:r>
    </w:p>
    <w:p w14:paraId="5045A99E">
      <w:pPr>
        <w:pStyle w:val="56"/>
        <w:ind w:firstLine="420"/>
        <w:rPr>
          <w:rFonts w:ascii="Times New Roman"/>
        </w:rPr>
      </w:pPr>
      <w:r>
        <w:rPr>
          <w:rFonts w:hint="eastAsia" w:ascii="Times New Roman"/>
        </w:rPr>
        <w:t>[来源：QX/T 125</w:t>
      </w:r>
      <w:r>
        <w:rPr>
          <w:rFonts w:ascii="Times New Roman"/>
        </w:rPr>
        <w:t>-2011</w:t>
      </w:r>
      <w:r>
        <w:rPr>
          <w:rFonts w:hint="eastAsia" w:ascii="Times New Roman"/>
        </w:rPr>
        <w:t>，3.1，有修改]</w:t>
      </w:r>
    </w:p>
    <w:p w14:paraId="1B88EBB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二氧化碳 </w:t>
      </w:r>
      <w:r>
        <w:rPr>
          <w:rFonts w:ascii="Times New Roman" w:eastAsia="黑体"/>
        </w:rPr>
        <w:t>carbon dioxide</w:t>
      </w:r>
    </w:p>
    <w:p w14:paraId="6EC792BC">
      <w:pPr>
        <w:pStyle w:val="56"/>
        <w:ind w:firstLine="420"/>
      </w:pPr>
      <w:r>
        <w:rPr>
          <w:rFonts w:ascii="Times New Roman"/>
        </w:rPr>
        <w:t>分子式为CO</w:t>
      </w:r>
      <w:r>
        <w:rPr>
          <w:rFonts w:ascii="Times New Roman"/>
          <w:vertAlign w:val="subscript"/>
        </w:rPr>
        <w:t>2</w:t>
      </w:r>
      <w:r>
        <w:rPr>
          <w:rFonts w:ascii="Times New Roman"/>
        </w:rPr>
        <w:t>，</w:t>
      </w:r>
      <w:r>
        <w:rPr>
          <w:rFonts w:hint="eastAsia" w:hAnsi="宋体"/>
        </w:rPr>
        <w:t>在大气中的滞留时间可达几十年或上百年，是影响地球辐射平衡的主</w:t>
      </w:r>
      <w:r>
        <w:rPr>
          <w:rFonts w:hint="eastAsia"/>
        </w:rPr>
        <w:t>要温室气体。源主要是化石燃料和生物质的燃烧、土地利用变化以及工业过程排放，汇主要是陆地生态</w:t>
      </w:r>
      <w:r>
        <w:t>系统</w:t>
      </w:r>
      <w:r>
        <w:rPr>
          <w:rFonts w:hint="eastAsia"/>
        </w:rPr>
        <w:t>和海洋的吸收。</w:t>
      </w:r>
    </w:p>
    <w:p w14:paraId="301282B4">
      <w:pPr>
        <w:pStyle w:val="56"/>
        <w:ind w:firstLine="420"/>
      </w:pPr>
      <w:r>
        <w:rPr>
          <w:rFonts w:hint="eastAsia" w:ascii="Times New Roman"/>
        </w:rPr>
        <w:t>[来源：QX/T 125</w:t>
      </w:r>
      <w:r>
        <w:rPr>
          <w:rFonts w:ascii="Times New Roman"/>
        </w:rPr>
        <w:t>-2011</w:t>
      </w:r>
      <w:r>
        <w:rPr>
          <w:rFonts w:hint="eastAsia" w:ascii="Times New Roman"/>
        </w:rPr>
        <w:t>，</w:t>
      </w:r>
      <w:r>
        <w:rPr>
          <w:rFonts w:ascii="Times New Roman"/>
        </w:rPr>
        <w:t>4.2</w:t>
      </w:r>
      <w:r>
        <w:rPr>
          <w:rFonts w:hint="eastAsia" w:ascii="Times New Roman"/>
        </w:rPr>
        <w:t>，有修改]</w:t>
      </w:r>
    </w:p>
    <w:p w14:paraId="79552C8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甲烷 </w:t>
      </w:r>
      <w:r>
        <w:rPr>
          <w:rFonts w:ascii="Times New Roman" w:eastAsia="黑体"/>
        </w:rPr>
        <w:t>methane</w:t>
      </w:r>
    </w:p>
    <w:p w14:paraId="539A4F85">
      <w:pPr>
        <w:pStyle w:val="56"/>
        <w:ind w:firstLine="420"/>
      </w:pPr>
      <w:r>
        <w:rPr>
          <w:rFonts w:ascii="Times New Roman"/>
        </w:rPr>
        <w:t>分子式为CH</w:t>
      </w:r>
      <w:r>
        <w:rPr>
          <w:rFonts w:ascii="Times New Roman"/>
          <w:vertAlign w:val="subscript"/>
        </w:rPr>
        <w:t>4</w:t>
      </w:r>
      <w:r>
        <w:rPr>
          <w:rFonts w:ascii="Times New Roman"/>
        </w:rPr>
        <w:t>，在大气中的滞留时间约为12年。</w:t>
      </w:r>
      <w:r>
        <w:rPr>
          <w:rFonts w:hint="eastAsia" w:hAnsi="宋体"/>
        </w:rPr>
        <w:t>源主要是</w:t>
      </w:r>
      <w:r>
        <w:rPr>
          <w:rFonts w:hint="eastAsia"/>
          <w:szCs w:val="21"/>
        </w:rPr>
        <w:t>农业（如牲畜和稻田）、</w:t>
      </w:r>
      <w:r>
        <w:rPr>
          <w:rFonts w:hAnsi="宋体"/>
        </w:rPr>
        <w:t>垃圾处理过程</w:t>
      </w:r>
      <w:r>
        <w:rPr>
          <w:rFonts w:hint="eastAsia" w:hAnsi="宋体"/>
        </w:rPr>
        <w:t>、</w:t>
      </w:r>
      <w:r>
        <w:rPr>
          <w:rFonts w:hint="eastAsia"/>
          <w:szCs w:val="21"/>
        </w:rPr>
        <w:t>化石燃料生产和使用（煤炭、天然气/石油开采）、生物燃料和生物质燃烧的排放、</w:t>
      </w:r>
      <w:r>
        <w:rPr>
          <w:rFonts w:hint="eastAsia" w:hAnsi="宋体"/>
        </w:rPr>
        <w:t>湿地和</w:t>
      </w:r>
      <w:r>
        <w:rPr>
          <w:rFonts w:hint="eastAsia"/>
          <w:szCs w:val="21"/>
        </w:rPr>
        <w:t>其他自然过程等</w:t>
      </w:r>
      <w:r>
        <w:rPr>
          <w:rFonts w:hint="eastAsia" w:hAnsi="宋体"/>
        </w:rPr>
        <w:t>，</w:t>
      </w:r>
      <w:r>
        <w:rPr>
          <w:rFonts w:hint="eastAsia"/>
        </w:rPr>
        <w:t>汇主要是羟基自由基氧化反应。</w:t>
      </w:r>
    </w:p>
    <w:p w14:paraId="1B60450C">
      <w:pPr>
        <w:pStyle w:val="56"/>
        <w:ind w:firstLine="420"/>
        <w:rPr>
          <w:rFonts w:ascii="Times New Roman"/>
        </w:rPr>
      </w:pPr>
      <w:r>
        <w:rPr>
          <w:rFonts w:hint="eastAsia" w:ascii="Times New Roman"/>
        </w:rPr>
        <w:t>[来源：QX/T 125</w:t>
      </w:r>
      <w:r>
        <w:rPr>
          <w:rFonts w:ascii="Times New Roman"/>
        </w:rPr>
        <w:t>-2011</w:t>
      </w:r>
      <w:r>
        <w:rPr>
          <w:rFonts w:hint="eastAsia" w:ascii="Times New Roman"/>
        </w:rPr>
        <w:t>，</w:t>
      </w:r>
      <w:r>
        <w:rPr>
          <w:rFonts w:ascii="Times New Roman"/>
        </w:rPr>
        <w:t>4.3</w:t>
      </w:r>
      <w:r>
        <w:rPr>
          <w:rFonts w:hint="eastAsia" w:ascii="Times New Roman"/>
        </w:rPr>
        <w:t>，有修改]</w:t>
      </w:r>
    </w:p>
    <w:p w14:paraId="5A5DD4B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浓度 </w:t>
      </w:r>
      <w:r>
        <w:rPr>
          <w:rFonts w:ascii="Times New Roman" w:eastAsia="黑体"/>
        </w:rPr>
        <w:t>concentration</w:t>
      </w:r>
    </w:p>
    <w:p w14:paraId="5C06A3DD">
      <w:pPr>
        <w:pStyle w:val="56"/>
        <w:ind w:firstLine="420"/>
      </w:pPr>
      <w:r>
        <w:rPr>
          <w:rFonts w:hint="eastAsia"/>
        </w:rPr>
        <w:t>特定</w:t>
      </w:r>
      <w:r>
        <w:t>气体摩尔数与同体积</w:t>
      </w:r>
      <w:r>
        <w:rPr>
          <w:rFonts w:hint="eastAsia"/>
        </w:rPr>
        <w:t>干空气</w:t>
      </w:r>
      <w:r>
        <w:t>内全部</w:t>
      </w:r>
      <w:r>
        <w:rPr>
          <w:rFonts w:hint="eastAsia"/>
        </w:rPr>
        <w:t>气体</w:t>
      </w:r>
      <w:r>
        <w:t>分子摩尔数之比</w:t>
      </w:r>
      <w:r>
        <w:rPr>
          <w:rFonts w:ascii="Times New Roman"/>
          <w:iCs/>
        </w:rPr>
        <w:t>。</w:t>
      </w:r>
    </w:p>
    <w:p w14:paraId="61E993BB">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 xml:space="preserve">本底浓度 </w:t>
      </w:r>
      <w:r>
        <w:rPr>
          <w:rFonts w:ascii="Times New Roman" w:eastAsia="黑体"/>
        </w:rPr>
        <w:t>background concentration</w:t>
      </w:r>
    </w:p>
    <w:p w14:paraId="58D554C8">
      <w:pPr>
        <w:pStyle w:val="56"/>
        <w:ind w:firstLine="420"/>
      </w:pPr>
      <w:r>
        <w:rPr>
          <w:rFonts w:hint="eastAsia"/>
        </w:rPr>
        <w:t>远离局地排放源、滤除了局地自然环境和人为活动直接影响、基本混合均匀的大气组成成分浓度。</w:t>
      </w:r>
    </w:p>
    <w:p w14:paraId="43B2A5E4">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 xml:space="preserve">局地浓度 </w:t>
      </w:r>
      <w:r>
        <w:rPr>
          <w:rFonts w:ascii="Times New Roman" w:eastAsia="黑体"/>
        </w:rPr>
        <w:t>local concentration</w:t>
      </w:r>
    </w:p>
    <w:p w14:paraId="3792E363">
      <w:pPr>
        <w:pStyle w:val="56"/>
        <w:ind w:firstLine="420"/>
      </w:pPr>
      <w:r>
        <w:rPr>
          <w:rFonts w:hint="eastAsia"/>
        </w:rPr>
        <w:t>受局地排放源</w:t>
      </w:r>
      <w:r>
        <w:t>和吸收汇</w:t>
      </w:r>
      <w:r>
        <w:rPr>
          <w:rFonts w:hint="eastAsia"/>
        </w:rPr>
        <w:t>影响的非本底大气组成成分浓度。</w:t>
      </w:r>
    </w:p>
    <w:p w14:paraId="172E2E78">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rPr>
        <w:br w:type="textWrapping"/>
      </w:r>
      <w:r>
        <w:rPr>
          <w:rFonts w:hint="eastAsia" w:ascii="黑体" w:hAnsi="黑体" w:eastAsia="黑体"/>
          <w:color w:val="000000" w:themeColor="text1"/>
          <w14:textFill>
            <w14:solidFill>
              <w14:schemeClr w14:val="tx1"/>
            </w14:solidFill>
          </w14:textFill>
        </w:rPr>
        <w:t xml:space="preserve">梯度理查森数 </w:t>
      </w:r>
      <w:r>
        <w:rPr>
          <w:rFonts w:ascii="Times New Roman" w:eastAsia="黑体"/>
          <w:color w:val="000000" w:themeColor="text1"/>
          <w14:textFill>
            <w14:solidFill>
              <w14:schemeClr w14:val="tx1"/>
            </w14:solidFill>
          </w14:textFill>
        </w:rPr>
        <w:t>gradient Richardson number</w:t>
      </w:r>
    </w:p>
    <w:p w14:paraId="61B96644">
      <w:pPr>
        <w:pStyle w:val="56"/>
        <w:ind w:firstLine="420"/>
      </w:pPr>
      <w:r>
        <w:rPr>
          <w:rFonts w:ascii="Times New Roman"/>
          <w:color w:val="000000" w:themeColor="text1"/>
          <w14:textFill>
            <w14:solidFill>
              <w14:schemeClr w14:val="tx1"/>
            </w14:solidFill>
          </w14:textFill>
        </w:rPr>
        <w:t>用两个高度上</w:t>
      </w:r>
      <w:r>
        <w:rPr>
          <w:rFonts w:hint="eastAsia" w:ascii="Times New Roman"/>
          <w:color w:val="000000" w:themeColor="text1"/>
          <w14:textFill>
            <w14:solidFill>
              <w14:schemeClr w14:val="tx1"/>
            </w14:solidFill>
          </w14:textFill>
        </w:rPr>
        <w:t>的</w:t>
      </w:r>
      <w:r>
        <w:rPr>
          <w:rFonts w:ascii="Times New Roman"/>
          <w:color w:val="000000" w:themeColor="text1"/>
          <w14:textFill>
            <w14:solidFill>
              <w14:schemeClr w14:val="tx1"/>
            </w14:solidFill>
          </w14:textFill>
        </w:rPr>
        <w:t>平均风速和平均温度代替理查森数表达式中风速垂直切变项和温度垂直梯度</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来确定大气稳定度。</w:t>
      </w:r>
    </w:p>
    <w:p w14:paraId="705D4831">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rPr>
        <w:br w:type="textWrapping"/>
      </w:r>
      <w:bookmarkStart w:id="56" w:name="OLE_LINK3"/>
      <w:bookmarkStart w:id="57" w:name="OLE_LINK4"/>
      <w:r>
        <w:rPr>
          <w:rFonts w:hint="eastAsia" w:ascii="黑体" w:hAnsi="黑体" w:eastAsia="黑体"/>
          <w:color w:val="000000" w:themeColor="text1"/>
          <w14:textFill>
            <w14:solidFill>
              <w14:schemeClr w14:val="tx1"/>
            </w14:solidFill>
          </w14:textFill>
        </w:rPr>
        <w:t>稳健局部回归</w:t>
      </w:r>
      <w:bookmarkEnd w:id="56"/>
      <w:bookmarkEnd w:id="57"/>
      <w:r>
        <w:rPr>
          <w:rFonts w:hint="eastAsia" w:ascii="黑体" w:hAnsi="黑体" w:eastAsia="黑体"/>
          <w:color w:val="000000" w:themeColor="text1"/>
          <w14:textFill>
            <w14:solidFill>
              <w14:schemeClr w14:val="tx1"/>
            </w14:solidFill>
          </w14:textFill>
        </w:rPr>
        <w:t xml:space="preserve"> </w:t>
      </w:r>
      <w:r>
        <w:rPr>
          <w:rFonts w:ascii="Times New Roman" w:eastAsia="黑体"/>
          <w:color w:val="000000" w:themeColor="text1"/>
          <w14:textFill>
            <w14:solidFill>
              <w14:schemeClr w14:val="tx1"/>
            </w14:solidFill>
          </w14:textFill>
        </w:rPr>
        <w:t>robust local regression</w:t>
      </w:r>
    </w:p>
    <w:p w14:paraId="45A7864C">
      <w:pPr>
        <w:pStyle w:val="56"/>
        <w:ind w:firstLine="420"/>
      </w:pPr>
      <w:r>
        <w:rPr>
          <w:rFonts w:hint="eastAsia"/>
          <w:color w:val="000000" w:themeColor="text1"/>
          <w14:textFill>
            <w14:solidFill>
              <w14:schemeClr w14:val="tx1"/>
            </w14:solidFill>
          </w14:textFill>
        </w:rPr>
        <w:t>在</w:t>
      </w:r>
      <w:r>
        <w:rPr>
          <w:color w:val="000000" w:themeColor="text1"/>
          <w14:textFill>
            <w14:solidFill>
              <w14:schemeClr w14:val="tx1"/>
            </w14:solidFill>
          </w14:textFill>
        </w:rPr>
        <w:t>一</w:t>
      </w:r>
      <w:r>
        <w:rPr>
          <w:rFonts w:hint="eastAsia"/>
          <w:color w:val="000000" w:themeColor="text1"/>
          <w14:textFill>
            <w14:solidFill>
              <w14:schemeClr w14:val="tx1"/>
            </w14:solidFill>
          </w14:textFill>
        </w:rPr>
        <w:t>定</w:t>
      </w:r>
      <w:r>
        <w:rPr>
          <w:color w:val="000000" w:themeColor="text1"/>
          <w14:textFill>
            <w14:solidFill>
              <w14:schemeClr w14:val="tx1"/>
            </w14:solidFill>
          </w14:textFill>
        </w:rPr>
        <w:t>时间</w:t>
      </w:r>
      <w:r>
        <w:rPr>
          <w:rFonts w:hint="eastAsia"/>
          <w:color w:val="000000" w:themeColor="text1"/>
          <w14:textFill>
            <w14:solidFill>
              <w14:schemeClr w14:val="tx1"/>
            </w14:solidFill>
          </w14:textFill>
        </w:rPr>
        <w:t>窗口</w:t>
      </w:r>
      <w:r>
        <w:rPr>
          <w:color w:val="000000" w:themeColor="text1"/>
          <w14:textFill>
            <w14:solidFill>
              <w14:schemeClr w14:val="tx1"/>
            </w14:solidFill>
          </w14:textFill>
        </w:rPr>
        <w:t>内对观测值进行逐步逼近回归拟合</w:t>
      </w:r>
      <w:r>
        <w:rPr>
          <w:rFonts w:hint="eastAsia"/>
          <w:color w:val="000000" w:themeColor="text1"/>
          <w14:textFill>
            <w14:solidFill>
              <w14:schemeClr w14:val="tx1"/>
            </w14:solidFill>
          </w14:textFill>
        </w:rPr>
        <w:t>的统计学</w:t>
      </w:r>
      <w:r>
        <w:rPr>
          <w:color w:val="000000" w:themeColor="text1"/>
          <w14:textFill>
            <w14:solidFill>
              <w14:schemeClr w14:val="tx1"/>
            </w14:solidFill>
          </w14:textFill>
        </w:rPr>
        <w:t>稳健估计方法</w:t>
      </w:r>
      <w:r>
        <w:rPr>
          <w:rFonts w:hint="eastAsia"/>
          <w:color w:val="000000" w:themeColor="text1"/>
          <w14:textFill>
            <w14:solidFill>
              <w14:schemeClr w14:val="tx1"/>
            </w14:solidFill>
          </w14:textFill>
        </w:rPr>
        <w:t>。</w:t>
      </w:r>
    </w:p>
    <w:p w14:paraId="46D7ED3F">
      <w:pPr>
        <w:pStyle w:val="104"/>
        <w:spacing w:before="312" w:after="312"/>
      </w:pPr>
      <w:bookmarkStart w:id="58" w:name="_Toc177025928"/>
      <w:bookmarkStart w:id="59" w:name="_Toc130808103"/>
      <w:r>
        <w:rPr>
          <w:rFonts w:hint="eastAsia"/>
        </w:rPr>
        <w:t>资料收集和处理</w:t>
      </w:r>
      <w:bookmarkEnd w:id="58"/>
      <w:bookmarkEnd w:id="59"/>
    </w:p>
    <w:p w14:paraId="64B56958">
      <w:pPr>
        <w:pStyle w:val="105"/>
        <w:spacing w:before="156" w:after="156"/>
      </w:pPr>
      <w:bookmarkStart w:id="60" w:name="_Toc130808104"/>
      <w:r>
        <w:rPr>
          <w:rFonts w:hint="eastAsia"/>
        </w:rPr>
        <w:t>资料种类</w:t>
      </w:r>
      <w:bookmarkEnd w:id="60"/>
    </w:p>
    <w:p w14:paraId="1E973E8C">
      <w:pPr>
        <w:pStyle w:val="65"/>
        <w:spacing w:before="0" w:beforeLines="0" w:after="0" w:afterLines="0"/>
        <w:ind w:left="0"/>
        <w:rPr>
          <w:rFonts w:ascii="宋体" w:hAnsi="宋体" w:eastAsia="宋体"/>
        </w:rPr>
      </w:pPr>
      <w:r>
        <w:rPr>
          <w:rFonts w:hint="eastAsia" w:ascii="宋体" w:hAnsi="宋体" w:eastAsia="宋体"/>
        </w:rPr>
        <w:t>温室气体观测站点信息：温室气体观测站点的经纬度、海拔高度、</w:t>
      </w:r>
      <w:r>
        <w:rPr>
          <w:rFonts w:ascii="宋体" w:hAnsi="宋体" w:eastAsia="宋体"/>
        </w:rPr>
        <w:t>进气口高度</w:t>
      </w:r>
      <w:r>
        <w:rPr>
          <w:rFonts w:hint="eastAsia" w:ascii="宋体" w:hAnsi="宋体" w:eastAsia="宋体"/>
        </w:rPr>
        <w:t>、下垫面</w:t>
      </w:r>
      <w:r>
        <w:rPr>
          <w:rFonts w:ascii="宋体" w:hAnsi="宋体" w:eastAsia="宋体"/>
        </w:rPr>
        <w:t>类型</w:t>
      </w:r>
      <w:r>
        <w:rPr>
          <w:rFonts w:hint="eastAsia" w:ascii="宋体" w:hAnsi="宋体" w:eastAsia="宋体"/>
        </w:rPr>
        <w:t>、周围</w:t>
      </w:r>
      <w:r>
        <w:rPr>
          <w:rFonts w:ascii="宋体" w:hAnsi="宋体" w:eastAsia="宋体"/>
        </w:rPr>
        <w:t>环境</w:t>
      </w:r>
      <w:r>
        <w:rPr>
          <w:rFonts w:hint="eastAsia" w:ascii="宋体" w:hAnsi="宋体" w:eastAsia="宋体"/>
        </w:rPr>
        <w:t>（表</w:t>
      </w:r>
      <w:r>
        <w:rPr>
          <w:rFonts w:ascii="Times New Roman" w:eastAsia="宋体"/>
        </w:rPr>
        <w:t>B.1</w:t>
      </w:r>
      <w:r>
        <w:rPr>
          <w:rFonts w:hint="eastAsia" w:ascii="宋体" w:hAnsi="宋体" w:eastAsia="宋体"/>
        </w:rPr>
        <w:t>）。</w:t>
      </w:r>
    </w:p>
    <w:p w14:paraId="2B4731B7">
      <w:pPr>
        <w:pStyle w:val="65"/>
        <w:spacing w:before="0" w:beforeLines="0" w:after="0" w:afterLines="0"/>
        <w:ind w:left="0"/>
        <w:rPr>
          <w:rFonts w:ascii="宋体" w:hAnsi="宋体" w:eastAsia="宋体"/>
        </w:rPr>
      </w:pPr>
      <w:r>
        <w:rPr>
          <w:rFonts w:hint="eastAsia" w:ascii="宋体" w:hAnsi="宋体" w:eastAsia="宋体"/>
        </w:rPr>
        <w:t>温室气体观测数据：温室气体观测站点建站以来的</w:t>
      </w:r>
      <w:r>
        <w:rPr>
          <w:rFonts w:ascii="Times New Roman" w:eastAsia="宋体"/>
        </w:rPr>
        <w:t>CO</w:t>
      </w:r>
      <w:r>
        <w:rPr>
          <w:rFonts w:ascii="Times New Roman" w:eastAsia="宋体"/>
          <w:vertAlign w:val="subscript"/>
        </w:rPr>
        <w:t>2</w:t>
      </w:r>
      <w:r>
        <w:rPr>
          <w:rFonts w:ascii="Times New Roman" w:eastAsia="宋体"/>
        </w:rPr>
        <w:t>、CH</w:t>
      </w:r>
      <w:r>
        <w:rPr>
          <w:rFonts w:ascii="Times New Roman" w:eastAsia="宋体"/>
          <w:vertAlign w:val="subscript"/>
        </w:rPr>
        <w:t>4</w:t>
      </w:r>
      <w:r>
        <w:rPr>
          <w:rFonts w:ascii="Times New Roman" w:eastAsia="宋体"/>
        </w:rPr>
        <w:t>浓</w:t>
      </w:r>
      <w:r>
        <w:rPr>
          <w:rFonts w:hint="eastAsia" w:ascii="宋体" w:hAnsi="宋体" w:eastAsia="宋体"/>
        </w:rPr>
        <w:t>度观测数据，</w:t>
      </w:r>
      <w:r>
        <w:rPr>
          <w:rFonts w:ascii="Times New Roman" w:eastAsia="宋体"/>
        </w:rPr>
        <w:t>CO</w:t>
      </w:r>
      <w:r>
        <w:rPr>
          <w:rFonts w:ascii="Times New Roman" w:eastAsia="宋体"/>
          <w:vertAlign w:val="subscript"/>
        </w:rPr>
        <w:t>2</w:t>
      </w:r>
      <w:r>
        <w:rPr>
          <w:rFonts w:hint="eastAsia" w:ascii="Times New Roman" w:eastAsia="宋体"/>
        </w:rPr>
        <w:t>浓度单位</w:t>
      </w:r>
      <w:r>
        <w:rPr>
          <w:rFonts w:ascii="Times New Roman" w:eastAsia="宋体"/>
        </w:rPr>
        <w:t>为</w:t>
      </w:r>
      <w:r>
        <w:rPr>
          <w:rFonts w:hint="eastAsia" w:ascii="Times New Roman" w:eastAsia="宋体"/>
        </w:rPr>
        <w:t>10</w:t>
      </w:r>
      <w:r>
        <w:rPr>
          <w:rFonts w:ascii="Times New Roman" w:eastAsia="宋体"/>
          <w:vertAlign w:val="superscript"/>
        </w:rPr>
        <w:t>-6</w:t>
      </w:r>
      <w:r>
        <w:rPr>
          <w:rFonts w:ascii="Times New Roman" w:eastAsia="宋体"/>
        </w:rPr>
        <w:t xml:space="preserve"> mol/mol</w:t>
      </w:r>
      <w:r>
        <w:rPr>
          <w:rFonts w:hint="eastAsia" w:ascii="Times New Roman" w:eastAsia="宋体"/>
        </w:rPr>
        <w:t>，</w:t>
      </w:r>
      <w:r>
        <w:rPr>
          <w:rFonts w:ascii="Times New Roman" w:eastAsia="宋体"/>
        </w:rPr>
        <w:t>CH</w:t>
      </w:r>
      <w:r>
        <w:rPr>
          <w:rFonts w:ascii="Times New Roman" w:eastAsia="宋体"/>
          <w:vertAlign w:val="subscript"/>
        </w:rPr>
        <w:t>4</w:t>
      </w:r>
      <w:r>
        <w:rPr>
          <w:rFonts w:hint="eastAsia" w:ascii="Times New Roman" w:eastAsia="宋体"/>
        </w:rPr>
        <w:t>浓度单位</w:t>
      </w:r>
      <w:r>
        <w:rPr>
          <w:rFonts w:ascii="Times New Roman" w:eastAsia="宋体"/>
        </w:rPr>
        <w:t>为</w:t>
      </w:r>
      <w:r>
        <w:rPr>
          <w:rFonts w:hint="eastAsia" w:ascii="Times New Roman" w:eastAsia="宋体"/>
        </w:rPr>
        <w:t>10</w:t>
      </w:r>
      <w:r>
        <w:rPr>
          <w:rFonts w:ascii="Times New Roman" w:eastAsia="宋体"/>
          <w:vertAlign w:val="superscript"/>
        </w:rPr>
        <w:t>-9</w:t>
      </w:r>
      <w:r>
        <w:rPr>
          <w:rFonts w:ascii="Times New Roman" w:eastAsia="宋体"/>
        </w:rPr>
        <w:t xml:space="preserve"> mol/mol</w:t>
      </w:r>
      <w:r>
        <w:rPr>
          <w:rFonts w:hint="eastAsia" w:ascii="Times New Roman" w:eastAsia="宋体"/>
        </w:rPr>
        <w:t>，</w:t>
      </w:r>
      <w:r>
        <w:rPr>
          <w:rFonts w:ascii="Times New Roman" w:eastAsia="宋体"/>
        </w:rPr>
        <w:t>下同</w:t>
      </w:r>
      <w:r>
        <w:rPr>
          <w:rFonts w:hint="eastAsia" w:ascii="宋体" w:hAnsi="宋体" w:eastAsia="宋体"/>
        </w:rPr>
        <w:t>。</w:t>
      </w:r>
    </w:p>
    <w:p w14:paraId="654AFD70">
      <w:pPr>
        <w:pStyle w:val="65"/>
        <w:spacing w:before="0" w:beforeLines="0" w:after="0" w:afterLines="0"/>
        <w:ind w:left="0"/>
        <w:rPr>
          <w:rFonts w:ascii="宋体" w:hAnsi="宋体" w:eastAsia="宋体"/>
        </w:rPr>
      </w:pPr>
      <w:r>
        <w:rPr>
          <w:rFonts w:hint="eastAsia" w:ascii="宋体" w:hAnsi="宋体" w:eastAsia="宋体"/>
        </w:rPr>
        <w:t>气象观测</w:t>
      </w:r>
      <w:r>
        <w:rPr>
          <w:rFonts w:ascii="宋体" w:hAnsi="宋体" w:eastAsia="宋体"/>
        </w:rPr>
        <w:t>站点</w:t>
      </w:r>
      <w:r>
        <w:rPr>
          <w:rFonts w:hint="eastAsia" w:ascii="宋体" w:hAnsi="宋体" w:eastAsia="宋体"/>
        </w:rPr>
        <w:t>信息</w:t>
      </w:r>
      <w:r>
        <w:rPr>
          <w:rFonts w:ascii="宋体" w:hAnsi="宋体" w:eastAsia="宋体"/>
        </w:rPr>
        <w:t>：</w:t>
      </w:r>
      <w:r>
        <w:rPr>
          <w:rFonts w:hint="eastAsia" w:ascii="宋体" w:hAnsi="宋体" w:eastAsia="宋体"/>
        </w:rPr>
        <w:t>气象观测站点的经纬度、海拔高度、风</w:t>
      </w:r>
      <w:r>
        <w:rPr>
          <w:rFonts w:ascii="宋体" w:hAnsi="宋体" w:eastAsia="宋体"/>
        </w:rPr>
        <w:t>观测高度</w:t>
      </w:r>
      <w:r>
        <w:rPr>
          <w:rFonts w:hint="eastAsia" w:ascii="宋体" w:hAnsi="宋体" w:eastAsia="宋体"/>
        </w:rPr>
        <w:t>、下垫面</w:t>
      </w:r>
      <w:r>
        <w:rPr>
          <w:rFonts w:ascii="宋体" w:hAnsi="宋体" w:eastAsia="宋体"/>
        </w:rPr>
        <w:t>类型</w:t>
      </w:r>
      <w:r>
        <w:rPr>
          <w:rFonts w:hint="eastAsia" w:ascii="宋体" w:hAnsi="宋体" w:eastAsia="宋体"/>
        </w:rPr>
        <w:t>、周围</w:t>
      </w:r>
      <w:r>
        <w:rPr>
          <w:rFonts w:ascii="宋体" w:hAnsi="宋体" w:eastAsia="宋体"/>
        </w:rPr>
        <w:t>环境</w:t>
      </w:r>
      <w:r>
        <w:rPr>
          <w:rFonts w:hint="eastAsia" w:ascii="宋体" w:hAnsi="宋体" w:eastAsia="宋体"/>
        </w:rPr>
        <w:t>（表</w:t>
      </w:r>
      <w:r>
        <w:rPr>
          <w:rFonts w:ascii="Times New Roman" w:eastAsia="宋体"/>
        </w:rPr>
        <w:t>B.2</w:t>
      </w:r>
      <w:r>
        <w:rPr>
          <w:rFonts w:hint="eastAsia" w:ascii="宋体" w:hAnsi="宋体" w:eastAsia="宋体"/>
        </w:rPr>
        <w:t>）。</w:t>
      </w:r>
    </w:p>
    <w:p w14:paraId="2452484E">
      <w:pPr>
        <w:pStyle w:val="65"/>
        <w:spacing w:before="0" w:beforeLines="0" w:after="0" w:afterLines="0"/>
        <w:ind w:left="0"/>
      </w:pPr>
      <w:r>
        <w:rPr>
          <w:rFonts w:hint="eastAsia" w:ascii="宋体" w:hAnsi="宋体" w:eastAsia="宋体"/>
        </w:rPr>
        <w:t>气象观测数据：温室气体观测站点同址、同期的风速、风向、气温、气压、云量资料。如果无同址观测，需选择距离近、观测环境一致性好的气象站点同期观测数据。</w:t>
      </w:r>
    </w:p>
    <w:p w14:paraId="08E9A83A">
      <w:pPr>
        <w:pStyle w:val="105"/>
        <w:spacing w:before="156" w:after="156"/>
      </w:pPr>
      <w:bookmarkStart w:id="61" w:name="_Toc130808105"/>
      <w:r>
        <w:rPr>
          <w:rFonts w:hint="eastAsia"/>
        </w:rPr>
        <w:t>资料</w:t>
      </w:r>
      <w:bookmarkEnd w:id="61"/>
      <w:r>
        <w:rPr>
          <w:rFonts w:hint="eastAsia"/>
        </w:rPr>
        <w:t>收集</w:t>
      </w:r>
    </w:p>
    <w:p w14:paraId="06E77A30">
      <w:pPr>
        <w:pStyle w:val="65"/>
        <w:spacing w:before="0" w:beforeLines="0" w:after="0" w:afterLines="0"/>
        <w:ind w:left="0"/>
        <w:rPr>
          <w:rFonts w:ascii="宋体" w:hAnsi="宋体" w:eastAsia="宋体"/>
        </w:rPr>
      </w:pPr>
      <w:r>
        <w:rPr>
          <w:rFonts w:hint="eastAsia" w:ascii="宋体" w:hAnsi="宋体" w:eastAsia="宋体"/>
        </w:rPr>
        <w:t>温室气体观测站点信息：来源于</w:t>
      </w:r>
      <w:r>
        <w:rPr>
          <w:rFonts w:ascii="宋体" w:hAnsi="宋体" w:eastAsia="宋体"/>
        </w:rPr>
        <w:t>国家测绘地理信息主管部门</w:t>
      </w:r>
      <w:r>
        <w:rPr>
          <w:rFonts w:hint="eastAsia" w:ascii="宋体" w:hAnsi="宋体" w:eastAsia="宋体"/>
        </w:rPr>
        <w:t>、地方测绘部门、</w:t>
      </w:r>
      <w:r>
        <w:rPr>
          <w:rFonts w:ascii="宋体" w:hAnsi="宋体" w:eastAsia="宋体"/>
        </w:rPr>
        <w:t>温室气体观测部门</w:t>
      </w:r>
      <w:r>
        <w:rPr>
          <w:rFonts w:hint="eastAsia" w:ascii="宋体" w:hAnsi="宋体" w:eastAsia="宋体"/>
        </w:rPr>
        <w:t>的</w:t>
      </w:r>
      <w:r>
        <w:rPr>
          <w:rFonts w:ascii="宋体" w:hAnsi="宋体" w:eastAsia="宋体"/>
        </w:rPr>
        <w:t>地面</w:t>
      </w:r>
      <w:r>
        <w:rPr>
          <w:rFonts w:hint="eastAsia" w:ascii="宋体" w:hAnsi="宋体" w:eastAsia="宋体"/>
        </w:rPr>
        <w:t>和</w:t>
      </w:r>
      <w:r>
        <w:rPr>
          <w:rFonts w:ascii="宋体" w:hAnsi="宋体" w:eastAsia="宋体"/>
        </w:rPr>
        <w:t>遥感观测</w:t>
      </w:r>
      <w:r>
        <w:rPr>
          <w:rFonts w:hint="eastAsia" w:ascii="宋体" w:hAnsi="宋体" w:eastAsia="宋体"/>
        </w:rPr>
        <w:t>，观测</w:t>
      </w:r>
      <w:r>
        <w:rPr>
          <w:rFonts w:ascii="宋体" w:hAnsi="宋体" w:eastAsia="宋体"/>
        </w:rPr>
        <w:t>站点</w:t>
      </w:r>
      <w:r>
        <w:rPr>
          <w:rFonts w:hint="eastAsia" w:ascii="宋体" w:hAnsi="宋体" w:eastAsia="宋体"/>
        </w:rPr>
        <w:t>选址</w:t>
      </w:r>
      <w:r>
        <w:rPr>
          <w:rFonts w:ascii="宋体" w:hAnsi="宋体" w:eastAsia="宋体"/>
        </w:rPr>
        <w:t>符合</w:t>
      </w:r>
      <w:r>
        <w:rPr>
          <w:rFonts w:ascii="Times New Roman" w:eastAsia="宋体"/>
        </w:rPr>
        <w:t>QX/T 174的规定</w:t>
      </w:r>
      <w:r>
        <w:rPr>
          <w:rFonts w:hint="eastAsia" w:ascii="宋体" w:hAnsi="宋体" w:eastAsia="宋体"/>
        </w:rPr>
        <w:t>。</w:t>
      </w:r>
    </w:p>
    <w:p w14:paraId="794730FE">
      <w:pPr>
        <w:pStyle w:val="65"/>
        <w:spacing w:before="0" w:beforeLines="0" w:after="0" w:afterLines="0"/>
        <w:ind w:left="0"/>
        <w:rPr>
          <w:rFonts w:ascii="宋体" w:hAnsi="宋体" w:eastAsia="宋体"/>
        </w:rPr>
      </w:pPr>
      <w:r>
        <w:rPr>
          <w:rFonts w:hint="eastAsia" w:ascii="宋体" w:hAnsi="宋体" w:eastAsia="宋体"/>
        </w:rPr>
        <w:t>温室气体浓度观测数据：来自温室气体观测部门，包括建站</w:t>
      </w:r>
      <w:r>
        <w:rPr>
          <w:rFonts w:ascii="宋体" w:hAnsi="宋体" w:eastAsia="宋体"/>
        </w:rPr>
        <w:t>以来</w:t>
      </w:r>
      <w:r>
        <w:rPr>
          <w:rFonts w:hint="eastAsia" w:ascii="宋体" w:hAnsi="宋体" w:eastAsia="宋体"/>
        </w:rPr>
        <w:t>经过质量控制后的逐小时的</w:t>
      </w:r>
      <w:r>
        <w:rPr>
          <w:rFonts w:ascii="Times New Roman" w:eastAsia="宋体"/>
        </w:rPr>
        <w:t>CO</w:t>
      </w:r>
      <w:r>
        <w:rPr>
          <w:rFonts w:ascii="Times New Roman" w:eastAsia="宋体"/>
          <w:vertAlign w:val="subscript"/>
        </w:rPr>
        <w:t>2</w:t>
      </w:r>
      <w:r>
        <w:rPr>
          <w:rFonts w:ascii="Times New Roman" w:eastAsia="宋体"/>
        </w:rPr>
        <w:t>、CH</w:t>
      </w:r>
      <w:r>
        <w:rPr>
          <w:rFonts w:ascii="Times New Roman" w:eastAsia="宋体"/>
          <w:vertAlign w:val="subscript"/>
        </w:rPr>
        <w:t>4</w:t>
      </w:r>
      <w:r>
        <w:rPr>
          <w:rFonts w:hint="eastAsia" w:ascii="宋体" w:hAnsi="宋体" w:eastAsia="宋体"/>
        </w:rPr>
        <w:t>浓度数据，符合时间长度可以是月、季、年、年际尺度。</w:t>
      </w:r>
    </w:p>
    <w:p w14:paraId="6E26C6F4">
      <w:pPr>
        <w:pStyle w:val="65"/>
        <w:spacing w:before="0" w:beforeLines="0" w:after="0" w:afterLines="0"/>
        <w:ind w:left="0"/>
        <w:rPr>
          <w:rFonts w:ascii="宋体" w:hAnsi="宋体" w:eastAsia="宋体"/>
        </w:rPr>
      </w:pPr>
      <w:r>
        <w:rPr>
          <w:rFonts w:hint="eastAsia" w:ascii="宋体" w:hAnsi="宋体" w:eastAsia="宋体"/>
        </w:rPr>
        <w:t>气象观测</w:t>
      </w:r>
      <w:r>
        <w:rPr>
          <w:rFonts w:ascii="宋体" w:hAnsi="宋体" w:eastAsia="宋体"/>
        </w:rPr>
        <w:t>站点信息：</w:t>
      </w:r>
      <w:r>
        <w:rPr>
          <w:rFonts w:hint="eastAsia" w:ascii="宋体" w:hAnsi="宋体" w:eastAsia="宋体"/>
        </w:rPr>
        <w:t>来源于国家</w:t>
      </w:r>
      <w:r>
        <w:rPr>
          <w:rFonts w:ascii="宋体" w:hAnsi="宋体" w:eastAsia="宋体"/>
        </w:rPr>
        <w:t>测绘地理信息主管部门</w:t>
      </w:r>
      <w:r>
        <w:rPr>
          <w:rFonts w:hint="eastAsia" w:ascii="宋体" w:hAnsi="宋体" w:eastAsia="宋体"/>
        </w:rPr>
        <w:t>、地方测绘部门、</w:t>
      </w:r>
      <w:r>
        <w:rPr>
          <w:rFonts w:ascii="宋体" w:hAnsi="宋体" w:eastAsia="宋体"/>
        </w:rPr>
        <w:t>气象</w:t>
      </w:r>
      <w:r>
        <w:rPr>
          <w:rFonts w:hint="eastAsia" w:ascii="宋体" w:hAnsi="宋体" w:eastAsia="宋体"/>
        </w:rPr>
        <w:t>部门。</w:t>
      </w:r>
    </w:p>
    <w:p w14:paraId="3B2F6AE6">
      <w:pPr>
        <w:pStyle w:val="65"/>
        <w:spacing w:before="0" w:beforeLines="0" w:after="0" w:afterLines="0"/>
        <w:ind w:left="0"/>
        <w:rPr>
          <w:rFonts w:ascii="宋体" w:hAnsi="宋体" w:eastAsia="宋体"/>
        </w:rPr>
      </w:pPr>
      <w:r>
        <w:rPr>
          <w:rFonts w:hint="eastAsia" w:ascii="宋体" w:hAnsi="宋体" w:eastAsia="宋体"/>
        </w:rPr>
        <w:t>气象观测数据：来自气象部门</w:t>
      </w:r>
      <w:r>
        <w:rPr>
          <w:rFonts w:ascii="宋体" w:hAnsi="宋体" w:eastAsia="宋体"/>
        </w:rPr>
        <w:t>，</w:t>
      </w:r>
      <w:r>
        <w:rPr>
          <w:rFonts w:hint="eastAsia" w:ascii="宋体" w:hAnsi="宋体" w:eastAsia="宋体"/>
        </w:rPr>
        <w:t>包括经过质量控制后的地面及大气边界层</w:t>
      </w:r>
      <w:r>
        <w:rPr>
          <w:rFonts w:ascii="宋体" w:hAnsi="宋体" w:eastAsia="宋体"/>
        </w:rPr>
        <w:t>高度以内</w:t>
      </w:r>
      <w:r>
        <w:rPr>
          <w:rFonts w:hint="eastAsia" w:ascii="宋体" w:hAnsi="宋体" w:eastAsia="宋体"/>
        </w:rPr>
        <w:t>的逐小时风速、风向、气温、气压数据以及</w:t>
      </w:r>
      <w:r>
        <w:rPr>
          <w:rFonts w:ascii="宋体" w:hAnsi="宋体" w:eastAsia="宋体"/>
        </w:rPr>
        <w:t>逐</w:t>
      </w:r>
      <w:r>
        <w:rPr>
          <w:rFonts w:hint="eastAsia" w:ascii="宋体" w:hAnsi="宋体" w:eastAsia="宋体"/>
        </w:rPr>
        <w:t>小时</w:t>
      </w:r>
      <w:r>
        <w:rPr>
          <w:rFonts w:ascii="宋体" w:hAnsi="宋体" w:eastAsia="宋体"/>
        </w:rPr>
        <w:t>云量数据</w:t>
      </w:r>
      <w:r>
        <w:rPr>
          <w:rFonts w:hint="eastAsia" w:ascii="宋体" w:hAnsi="宋体" w:eastAsia="宋体"/>
        </w:rPr>
        <w:t>，</w:t>
      </w:r>
      <w:r>
        <w:rPr>
          <w:rFonts w:ascii="宋体" w:hAnsi="宋体" w:eastAsia="宋体"/>
        </w:rPr>
        <w:t>符合</w:t>
      </w:r>
      <w:r>
        <w:rPr>
          <w:rFonts w:ascii="Times New Roman" w:eastAsia="宋体"/>
        </w:rPr>
        <w:t>GB/T 35221、GB/T 35227及QX/T 118的</w:t>
      </w:r>
      <w:r>
        <w:rPr>
          <w:rFonts w:hint="eastAsia" w:ascii="宋体" w:hAnsi="宋体" w:eastAsia="宋体"/>
        </w:rPr>
        <w:t>规定。</w:t>
      </w:r>
    </w:p>
    <w:p w14:paraId="2524BF51">
      <w:pPr>
        <w:pStyle w:val="105"/>
        <w:spacing w:before="156" w:after="156"/>
      </w:pPr>
      <w:bookmarkStart w:id="62" w:name="_Toc130808106"/>
      <w:r>
        <w:rPr>
          <w:rFonts w:hint="eastAsia"/>
        </w:rPr>
        <w:t>数据处理</w:t>
      </w:r>
      <w:bookmarkEnd w:id="62"/>
    </w:p>
    <w:p w14:paraId="0DCC3E07">
      <w:pPr>
        <w:pStyle w:val="65"/>
        <w:spacing w:before="156" w:after="156"/>
        <w:ind w:left="0"/>
      </w:pPr>
      <w:r>
        <w:rPr>
          <w:rFonts w:hint="eastAsia"/>
        </w:rPr>
        <w:t>温室气体浓度观测数据</w:t>
      </w:r>
    </w:p>
    <w:p w14:paraId="6F743D79">
      <w:pPr>
        <w:pStyle w:val="94"/>
        <w:spacing w:before="156" w:after="156"/>
        <w:ind w:left="0"/>
      </w:pPr>
      <w:r>
        <w:rPr>
          <w:rFonts w:hint="eastAsia"/>
        </w:rPr>
        <w:t>数据完整率</w:t>
      </w:r>
    </w:p>
    <w:p w14:paraId="59674E3B">
      <w:pPr>
        <w:pStyle w:val="56"/>
        <w:ind w:firstLine="420"/>
      </w:pPr>
      <w:r>
        <w:rPr>
          <w:rFonts w:hint="eastAsia"/>
        </w:rPr>
        <w:t>用于本底筛分的</w:t>
      </w:r>
      <w:r>
        <w:rPr>
          <w:rFonts w:ascii="Times New Roman"/>
        </w:rPr>
        <w:t>CO</w:t>
      </w:r>
      <w:r>
        <w:rPr>
          <w:rFonts w:ascii="Times New Roman"/>
          <w:vertAlign w:val="subscript"/>
        </w:rPr>
        <w:t>2</w:t>
      </w:r>
      <w:r>
        <w:rPr>
          <w:rFonts w:ascii="Times New Roman"/>
        </w:rPr>
        <w:t>和CH</w:t>
      </w:r>
      <w:r>
        <w:rPr>
          <w:rFonts w:ascii="Times New Roman"/>
          <w:vertAlign w:val="subscript"/>
        </w:rPr>
        <w:t>4</w:t>
      </w:r>
      <w:r>
        <w:rPr>
          <w:rFonts w:hint="eastAsia"/>
        </w:rPr>
        <w:t>浓度观测数据的时间分辨率为逐小时，总</w:t>
      </w:r>
      <w:r>
        <w:t>数据及逐月数据</w:t>
      </w:r>
      <w:r>
        <w:rPr>
          <w:rFonts w:hint="eastAsia"/>
        </w:rPr>
        <w:t>完整率</w:t>
      </w:r>
      <w:r>
        <w:t>均</w:t>
      </w:r>
      <w:r>
        <w:rPr>
          <w:rFonts w:hint="eastAsia"/>
        </w:rPr>
        <w:t>需达</w:t>
      </w:r>
      <w:r>
        <w:rPr>
          <w:rFonts w:ascii="Times New Roman"/>
        </w:rPr>
        <w:t>到95%</w:t>
      </w:r>
      <w:r>
        <w:rPr>
          <w:rFonts w:hint="eastAsia"/>
        </w:rPr>
        <w:t>以上。计算数据</w:t>
      </w:r>
      <w:r>
        <w:t>完整率时不统计由于仪器故障、停机、系统维护等造成的缺测</w:t>
      </w:r>
      <w:r>
        <w:rPr>
          <w:rFonts w:hint="eastAsia"/>
        </w:rPr>
        <w:t>。</w:t>
      </w:r>
    </w:p>
    <w:p w14:paraId="6B311043">
      <w:pPr>
        <w:pStyle w:val="94"/>
        <w:spacing w:before="156" w:after="156"/>
        <w:ind w:left="0"/>
      </w:pPr>
      <w:r>
        <w:rPr>
          <w:rFonts w:hint="eastAsia"/>
        </w:rPr>
        <w:t>逐月逐风向温室</w:t>
      </w:r>
      <w:r>
        <w:t>气体平均</w:t>
      </w:r>
      <w:r>
        <w:rPr>
          <w:rFonts w:hint="eastAsia"/>
        </w:rPr>
        <w:t>浓度</w:t>
      </w:r>
    </w:p>
    <w:p w14:paraId="5449CA95">
      <w:pPr>
        <w:pStyle w:val="56"/>
        <w:ind w:firstLine="420"/>
      </w:pPr>
      <w:r>
        <w:rPr>
          <w:rFonts w:hint="eastAsia"/>
        </w:rPr>
        <w:t>基于观测</w:t>
      </w:r>
      <w:r>
        <w:t>时段内</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浓度观测数据以及风向数据，</w:t>
      </w:r>
      <w:r>
        <w:rPr>
          <w:rFonts w:hint="eastAsia"/>
        </w:rPr>
        <w:t>逐月逐风向</w:t>
      </w:r>
      <w:r>
        <w:t>计算</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平均</w:t>
      </w:r>
      <w:r>
        <w:t>浓度</w:t>
      </w:r>
      <w:r>
        <w:rPr>
          <w:rFonts w:hint="eastAsia"/>
        </w:rPr>
        <w:t>，十六</w:t>
      </w:r>
      <w:r>
        <w:t>风向</w:t>
      </w:r>
      <w:r>
        <w:rPr>
          <w:rFonts w:hint="eastAsia"/>
        </w:rPr>
        <w:t>所</w:t>
      </w:r>
      <w:r>
        <w:t>对应的方位、符号、中心角度</w:t>
      </w:r>
      <w:r>
        <w:rPr>
          <w:rFonts w:hint="eastAsia"/>
        </w:rPr>
        <w:t>、</w:t>
      </w:r>
      <w:r>
        <w:t>角度范围</w:t>
      </w:r>
      <w:r>
        <w:rPr>
          <w:rFonts w:hint="eastAsia"/>
        </w:rPr>
        <w:t>以及</w:t>
      </w:r>
      <w:r>
        <w:t>静风标准</w:t>
      </w:r>
      <w:r>
        <w:rPr>
          <w:rFonts w:hint="eastAsia"/>
        </w:rPr>
        <w:t>见表1，</w:t>
      </w:r>
      <w:r>
        <w:t>计算方法见</w:t>
      </w:r>
      <w:r>
        <w:rPr>
          <w:rFonts w:hint="eastAsia"/>
        </w:rPr>
        <w:t>式</w:t>
      </w:r>
      <w:r>
        <w:rPr>
          <w:rFonts w:ascii="Times New Roman"/>
        </w:rPr>
        <w:t>（1）</w:t>
      </w:r>
      <w:r>
        <w:rPr>
          <w:rFonts w:hint="eastAsia"/>
        </w:rPr>
        <w:t>：</w:t>
      </w:r>
    </w:p>
    <w:p w14:paraId="2DED93DE">
      <w:pPr>
        <w:pStyle w:val="113"/>
      </w:pPr>
      <w:r>
        <w:tab/>
      </w:r>
      <m:oMath>
        <m:sSub>
          <m:sSubPr>
            <m:ctrlPr>
              <w:rPr>
                <w:rFonts w:ascii="Cambria Math" w:hAnsi="Cambria Math"/>
              </w:rPr>
            </m:ctrlPr>
          </m:sSubPr>
          <m:e>
            <m:bar>
              <m:barPr>
                <m:pos m:val="top"/>
                <m:ctrlPr>
                  <w:rPr>
                    <w:rFonts w:ascii="Cambria Math" w:hAnsi="Cambria Math"/>
                    <w:i/>
                  </w:rPr>
                </m:ctrlPr>
              </m:barPr>
              <m:e>
                <m:r>
                  <m:rPr/>
                  <w:rPr>
                    <w:rFonts w:ascii="Cambria Math" w:hAnsi="Cambria Math"/>
                  </w:rPr>
                  <m:t>C</m:t>
                </m:r>
                <m:ctrlPr>
                  <w:rPr>
                    <w:rFonts w:ascii="Cambria Math" w:hAnsi="Cambria Math"/>
                    <w:i/>
                  </w:rPr>
                </m:ctrlPr>
              </m:e>
            </m:bar>
            <m:ctrlPr>
              <w:rPr>
                <w:rFonts w:ascii="Cambria Math" w:hAnsi="Cambria Math"/>
              </w:rPr>
            </m:ctrlPr>
          </m:e>
          <m:sub>
            <m:r>
              <m:rPr/>
              <w:rPr>
                <w:rFonts w:ascii="Cambria Math" w:hAnsi="Cambria Math"/>
              </w:rPr>
              <m:t>m,n</m:t>
            </m:r>
            <m:ctrlPr>
              <w:rPr>
                <w:rFonts w:ascii="Cambria Math" w:hAnsi="Cambria Math"/>
              </w:rPr>
            </m:ctrlPr>
          </m:sub>
        </m:sSub>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m,n</m:t>
                    </m:r>
                    <m:ctrlPr>
                      <w:rPr>
                        <w:rFonts w:ascii="Cambria Math" w:hAnsi="Cambria Math"/>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m,n</m:t>
                    </m:r>
                    <m:ctrlPr>
                      <w:rPr>
                        <w:rFonts w:ascii="Cambria Math" w:hAnsi="Cambria Math"/>
                        <w:i/>
                      </w:rPr>
                    </m:ctrlPr>
                  </m:sub>
                  <m:sup>
                    <m:r>
                      <m:rPr/>
                      <w:rPr>
                        <w:rFonts w:ascii="Cambria Math" w:hAnsi="Cambria Math"/>
                      </w:rPr>
                      <m:t>i</m:t>
                    </m:r>
                    <m:ctrlPr>
                      <w:rPr>
                        <w:rFonts w:ascii="Cambria Math" w:hAnsi="Cambria Math"/>
                        <w:i/>
                      </w:rPr>
                    </m:ctrlPr>
                  </m:sup>
                </m:sSubSup>
                <m:ctrlPr>
                  <w:rPr>
                    <w:rFonts w:ascii="Cambria Math" w:hAnsi="Cambria Math"/>
                    <w:i/>
                  </w:rPr>
                </m:ctrlPr>
              </m:e>
            </m:nary>
            <m:ctrlPr>
              <w:rPr>
                <w:rFonts w:ascii="Cambria Math" w:hAnsi="Cambria Math"/>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m,n</m:t>
                </m:r>
                <m:ctrlPr>
                  <w:rPr>
                    <w:rFonts w:ascii="Cambria Math" w:hAnsi="Cambria Math"/>
                    <w:i/>
                  </w:rPr>
                </m:ctrlPr>
              </m:sub>
            </m:sSub>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0E4E680B">
      <w:pPr>
        <w:pStyle w:val="55"/>
        <w:ind w:firstLine="420"/>
      </w:pPr>
      <w:r>
        <w:rPr>
          <w:rFonts w:hint="eastAsia"/>
        </w:rPr>
        <w:t>式中：</w:t>
      </w:r>
    </w:p>
    <w:p w14:paraId="70FA30E8">
      <w:pPr>
        <w:pStyle w:val="56"/>
        <w:ind w:firstLine="420"/>
        <w:rPr>
          <w:iCs/>
        </w:rPr>
      </w:pPr>
      <m:oMath>
        <m:sSub>
          <m:sSubPr>
            <m:ctrlPr>
              <w:rPr>
                <w:rFonts w:ascii="Cambria Math" w:hAnsi="Cambria Math"/>
                <w:kern w:val="2"/>
                <w:szCs w:val="21"/>
              </w:rPr>
            </m:ctrlPr>
          </m:sSubPr>
          <m:e>
            <m:bar>
              <m:barPr>
                <m:pos m:val="top"/>
                <m:ctrlPr>
                  <w:rPr>
                    <w:rFonts w:ascii="Cambria Math" w:hAnsi="Cambria Math"/>
                    <w:i/>
                    <w:kern w:val="2"/>
                    <w:szCs w:val="21"/>
                  </w:rPr>
                </m:ctrlPr>
              </m:barPr>
              <m:e>
                <m:r>
                  <m:rPr/>
                  <w:rPr>
                    <w:rFonts w:ascii="Cambria Math" w:hAnsi="Cambria Math"/>
                  </w:rPr>
                  <m:t>C</m:t>
                </m:r>
                <m:ctrlPr>
                  <w:rPr>
                    <w:rFonts w:ascii="Cambria Math" w:hAnsi="Cambria Math"/>
                    <w:i/>
                    <w:kern w:val="2"/>
                    <w:szCs w:val="21"/>
                  </w:rPr>
                </m:ctrlPr>
              </m:e>
            </m:bar>
            <m:ctrlPr>
              <w:rPr>
                <w:rFonts w:ascii="Cambria Math" w:hAnsi="Cambria Math"/>
                <w:kern w:val="2"/>
                <w:szCs w:val="21"/>
              </w:rPr>
            </m:ctrlPr>
          </m:e>
          <m:sub>
            <m:r>
              <m:rPr/>
              <w:rPr>
                <w:rFonts w:ascii="Cambria Math" w:hAnsi="Cambria Math"/>
              </w:rPr>
              <m:t>m,n</m:t>
            </m:r>
            <m:ctrlPr>
              <w:rPr>
                <w:rFonts w:ascii="Cambria Math" w:hAnsi="Cambria Math"/>
                <w:kern w:val="2"/>
                <w:szCs w:val="21"/>
              </w:rPr>
            </m:ctrlPr>
          </m:sub>
        </m:sSub>
      </m:oMath>
      <w:r>
        <w:rPr>
          <w:rFonts w:hint="eastAsia"/>
        </w:rPr>
        <w:t>——特定</w:t>
      </w:r>
      <w:r>
        <w:t>月份</w:t>
      </w:r>
      <w:r>
        <w:rPr>
          <w:rFonts w:hint="eastAsia"/>
        </w:rPr>
        <w:t>特定风向</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平均</w:t>
      </w:r>
      <w:r>
        <w:rPr>
          <w:rFonts w:hint="eastAsia"/>
        </w:rPr>
        <w:t>浓度</w:t>
      </w:r>
      <w:r>
        <w:t>，</w:t>
      </w:r>
      <m:oMath>
        <m:r>
          <m:rPr/>
          <w:rPr>
            <w:rFonts w:ascii="Cambria Math" w:hAnsi="Cambria Math"/>
          </w:rPr>
          <m:t>m</m:t>
        </m:r>
      </m:oMath>
      <w:r>
        <w:rPr>
          <w:rFonts w:hint="eastAsia"/>
          <w:iCs/>
        </w:rPr>
        <w:t>表示</w:t>
      </w:r>
      <w:r>
        <w:rPr>
          <w:rFonts w:ascii="Times New Roman"/>
          <w:iCs/>
        </w:rPr>
        <w:t>1~12月</w:t>
      </w:r>
      <w:r>
        <w:rPr>
          <w:rFonts w:hint="eastAsia"/>
          <w:iCs/>
        </w:rPr>
        <w:t>，</w:t>
      </w:r>
      <m:oMath>
        <m:r>
          <m:rPr/>
          <w:rPr>
            <w:rFonts w:ascii="Cambria Math" w:hAnsi="Cambria Math"/>
          </w:rPr>
          <m:t>n</m:t>
        </m:r>
      </m:oMath>
      <w:r>
        <w:rPr>
          <w:rFonts w:hint="eastAsia"/>
          <w:iCs/>
        </w:rPr>
        <w:t>表示</w:t>
      </w:r>
      <w:r>
        <w:rPr>
          <w:rFonts w:ascii="Times New Roman"/>
          <w:iCs/>
        </w:rPr>
        <w:t>1~16</w:t>
      </w:r>
      <w:r>
        <w:rPr>
          <w:rFonts w:hint="eastAsia"/>
          <w:iCs/>
        </w:rPr>
        <w:t>风向；</w:t>
      </w:r>
    </w:p>
    <w:p w14:paraId="493315FD">
      <w:pPr>
        <w:pStyle w:val="56"/>
        <w:ind w:firstLine="199" w:firstLineChars="95"/>
        <w:rPr>
          <w:kern w:val="2"/>
          <w:szCs w:val="21"/>
        </w:rPr>
      </w:pPr>
      <m:oMath>
        <m:r>
          <m:rPr>
            <m:sty m:val="p"/>
          </m:rPr>
          <w:rPr>
            <w:rFonts w:ascii="Cambria Math" w:hAnsi="Cambria Math"/>
            <w:kern w:val="2"/>
            <w:szCs w:val="21"/>
          </w:rPr>
          <m:t xml:space="preserve">  </m:t>
        </m:r>
        <m:sSubSup>
          <m:sSubSupPr>
            <m:ctrlPr>
              <w:rPr>
                <w:rFonts w:ascii="Cambria Math" w:hAnsi="Cambria Math"/>
                <w:i/>
                <w:kern w:val="2"/>
                <w:szCs w:val="21"/>
              </w:rPr>
            </m:ctrlPr>
          </m:sSubSupPr>
          <m:e>
            <m:r>
              <m:rPr/>
              <w:rPr>
                <w:rFonts w:ascii="Cambria Math" w:hAnsi="Cambria Math"/>
              </w:rPr>
              <m:t>C</m:t>
            </m:r>
            <m:ctrlPr>
              <w:rPr>
                <w:rFonts w:ascii="Cambria Math" w:hAnsi="Cambria Math"/>
                <w:i/>
                <w:kern w:val="2"/>
                <w:szCs w:val="21"/>
              </w:rPr>
            </m:ctrlPr>
          </m:e>
          <m:sub>
            <m:r>
              <m:rPr/>
              <w:rPr>
                <w:rFonts w:ascii="Cambria Math" w:hAnsi="Cambria Math"/>
              </w:rPr>
              <m:t>m,n</m:t>
            </m:r>
            <m:ctrlPr>
              <w:rPr>
                <w:rFonts w:ascii="Cambria Math" w:hAnsi="Cambria Math"/>
                <w:i/>
                <w:kern w:val="2"/>
                <w:szCs w:val="21"/>
              </w:rPr>
            </m:ctrlPr>
          </m:sub>
          <m:sup>
            <m:r>
              <m:rPr/>
              <w:rPr>
                <w:rFonts w:ascii="Cambria Math" w:hAnsi="Cambria Math"/>
              </w:rPr>
              <m:t>i</m:t>
            </m:r>
            <m:ctrlPr>
              <w:rPr>
                <w:rFonts w:ascii="Cambria Math" w:hAnsi="Cambria Math"/>
                <w:i/>
                <w:kern w:val="2"/>
                <w:szCs w:val="21"/>
              </w:rPr>
            </m:ctrlPr>
          </m:sup>
        </m:sSubSup>
      </m:oMath>
      <w:r>
        <w:rPr>
          <w:rFonts w:hint="eastAsia"/>
          <w:kern w:val="2"/>
          <w:szCs w:val="21"/>
        </w:rPr>
        <w:t>——特定月份特定</w:t>
      </w:r>
      <w:r>
        <w:rPr>
          <w:kern w:val="2"/>
          <w:szCs w:val="21"/>
        </w:rPr>
        <w:t>风向逐时</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kern w:val="2"/>
          <w:szCs w:val="21"/>
        </w:rPr>
        <w:t>浓度；</w:t>
      </w:r>
    </w:p>
    <w:p w14:paraId="47DF5F5B">
      <w:pPr>
        <w:pStyle w:val="56"/>
        <w:ind w:firstLine="420"/>
      </w:pPr>
      <m:oMath>
        <m:sSub>
          <m:sSubPr>
            <m:ctrlPr>
              <w:rPr>
                <w:rFonts w:ascii="Cambria Math" w:hAnsi="Cambria Math"/>
                <w:i/>
                <w:kern w:val="2"/>
                <w:szCs w:val="21"/>
              </w:rPr>
            </m:ctrlPr>
          </m:sSubPr>
          <m:e>
            <m:r>
              <m:rPr/>
              <w:rPr>
                <w:rFonts w:ascii="Cambria Math" w:hAnsi="Cambria Math"/>
              </w:rPr>
              <m:t>N</m:t>
            </m:r>
            <m:ctrlPr>
              <w:rPr>
                <w:rFonts w:ascii="Cambria Math" w:hAnsi="Cambria Math"/>
                <w:i/>
                <w:kern w:val="2"/>
                <w:szCs w:val="21"/>
              </w:rPr>
            </m:ctrlPr>
          </m:e>
          <m:sub>
            <m:r>
              <m:rPr/>
              <w:rPr>
                <w:rFonts w:ascii="Cambria Math" w:hAnsi="Cambria Math"/>
              </w:rPr>
              <m:t>m,n</m:t>
            </m:r>
            <m:ctrlPr>
              <w:rPr>
                <w:rFonts w:ascii="Cambria Math" w:hAnsi="Cambria Math"/>
                <w:i/>
                <w:kern w:val="2"/>
                <w:szCs w:val="21"/>
              </w:rPr>
            </m:ctrlPr>
          </m:sub>
        </m:sSub>
      </m:oMath>
      <w:r>
        <w:rPr>
          <w:rFonts w:hint="eastAsia"/>
        </w:rPr>
        <w:t>——</w:t>
      </w:r>
      <w:r>
        <w:rPr>
          <w:rFonts w:hint="eastAsia"/>
          <w:kern w:val="2"/>
          <w:szCs w:val="21"/>
        </w:rPr>
        <w:t>特定月份特定</w:t>
      </w:r>
      <w:r>
        <w:rPr>
          <w:kern w:val="2"/>
          <w:szCs w:val="21"/>
        </w:rPr>
        <w:t>风向</w:t>
      </w:r>
      <w:r>
        <w:rPr>
          <w:rFonts w:hint="eastAsia"/>
        </w:rPr>
        <w:t>参与</w:t>
      </w:r>
      <w:r>
        <w:t>统计的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观测</w:t>
      </w:r>
      <w:r>
        <w:t>数</w:t>
      </w:r>
      <w:r>
        <w:rPr>
          <w:rFonts w:hint="eastAsia"/>
        </w:rPr>
        <w:t>。</w:t>
      </w:r>
    </w:p>
    <w:p w14:paraId="5F59F4BB">
      <w:pPr>
        <w:pStyle w:val="112"/>
        <w:spacing w:before="156" w:after="156"/>
      </w:pPr>
      <w:r>
        <w:rPr>
          <w:rFonts w:hint="eastAsia" w:hAnsi="黑体"/>
          <w:sz w:val="20"/>
        </w:rPr>
        <w:t>风向符号与度数对照表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32F20E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14:paraId="190E9F80">
            <w:pPr>
              <w:spacing w:line="240" w:lineRule="auto"/>
              <w:jc w:val="center"/>
              <w:rPr>
                <w:rFonts w:ascii="Times New Roman"/>
                <w:sz w:val="18"/>
              </w:rPr>
            </w:pPr>
            <w:r>
              <w:rPr>
                <w:rFonts w:ascii="Times New Roman"/>
                <w:sz w:val="18"/>
              </w:rPr>
              <w:t>序号</w:t>
            </w:r>
          </w:p>
        </w:tc>
        <w:tc>
          <w:tcPr>
            <w:tcW w:w="1867" w:type="dxa"/>
            <w:tcBorders>
              <w:top w:val="single" w:color="auto" w:sz="8" w:space="0"/>
              <w:bottom w:val="single" w:color="auto" w:sz="8" w:space="0"/>
            </w:tcBorders>
            <w:shd w:val="clear" w:color="auto" w:fill="auto"/>
            <w:vAlign w:val="center"/>
          </w:tcPr>
          <w:p w14:paraId="6109A4C0">
            <w:pPr>
              <w:spacing w:line="240" w:lineRule="auto"/>
              <w:jc w:val="center"/>
              <w:rPr>
                <w:rFonts w:ascii="Times New Roman"/>
                <w:sz w:val="18"/>
              </w:rPr>
            </w:pPr>
            <w:r>
              <w:rPr>
                <w:rFonts w:ascii="Times New Roman"/>
                <w:sz w:val="18"/>
              </w:rPr>
              <w:t>方位</w:t>
            </w:r>
          </w:p>
        </w:tc>
        <w:tc>
          <w:tcPr>
            <w:tcW w:w="1867" w:type="dxa"/>
            <w:tcBorders>
              <w:top w:val="single" w:color="auto" w:sz="8" w:space="0"/>
              <w:bottom w:val="single" w:color="auto" w:sz="8" w:space="0"/>
            </w:tcBorders>
            <w:shd w:val="clear" w:color="auto" w:fill="auto"/>
            <w:vAlign w:val="center"/>
          </w:tcPr>
          <w:p w14:paraId="4A023CE1">
            <w:pPr>
              <w:spacing w:line="240" w:lineRule="auto"/>
              <w:jc w:val="center"/>
              <w:rPr>
                <w:rFonts w:ascii="Times New Roman"/>
                <w:sz w:val="18"/>
              </w:rPr>
            </w:pPr>
            <w:r>
              <w:rPr>
                <w:rFonts w:ascii="Times New Roman"/>
                <w:sz w:val="18"/>
              </w:rPr>
              <w:t>符号</w:t>
            </w:r>
          </w:p>
        </w:tc>
        <w:tc>
          <w:tcPr>
            <w:tcW w:w="1867" w:type="dxa"/>
            <w:tcBorders>
              <w:top w:val="single" w:color="auto" w:sz="8" w:space="0"/>
              <w:bottom w:val="single" w:color="auto" w:sz="8" w:space="0"/>
            </w:tcBorders>
            <w:shd w:val="clear" w:color="auto" w:fill="auto"/>
            <w:vAlign w:val="center"/>
          </w:tcPr>
          <w:p w14:paraId="52E6697D">
            <w:pPr>
              <w:spacing w:line="240" w:lineRule="auto"/>
              <w:jc w:val="center"/>
              <w:rPr>
                <w:rFonts w:ascii="Times New Roman"/>
                <w:sz w:val="18"/>
              </w:rPr>
            </w:pPr>
            <w:r>
              <w:rPr>
                <w:rFonts w:ascii="Times New Roman"/>
                <w:sz w:val="18"/>
              </w:rPr>
              <w:t>中心角度/°</w:t>
            </w:r>
          </w:p>
        </w:tc>
        <w:tc>
          <w:tcPr>
            <w:tcW w:w="1867" w:type="dxa"/>
            <w:tcBorders>
              <w:top w:val="single" w:color="auto" w:sz="8" w:space="0"/>
              <w:bottom w:val="single" w:color="auto" w:sz="8" w:space="0"/>
            </w:tcBorders>
            <w:shd w:val="clear" w:color="auto" w:fill="auto"/>
            <w:vAlign w:val="center"/>
          </w:tcPr>
          <w:p w14:paraId="6C69D3DF">
            <w:pPr>
              <w:spacing w:line="240" w:lineRule="auto"/>
              <w:jc w:val="center"/>
              <w:rPr>
                <w:rFonts w:ascii="Times New Roman"/>
                <w:sz w:val="18"/>
              </w:rPr>
            </w:pPr>
            <w:r>
              <w:rPr>
                <w:rFonts w:ascii="Times New Roman"/>
                <w:sz w:val="18"/>
              </w:rPr>
              <w:t>角度范围/°</w:t>
            </w:r>
          </w:p>
        </w:tc>
      </w:tr>
      <w:tr w14:paraId="74508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0B2A7FBC">
            <w:pPr>
              <w:spacing w:line="240" w:lineRule="auto"/>
              <w:jc w:val="center"/>
              <w:rPr>
                <w:rFonts w:ascii="Times New Roman"/>
                <w:sz w:val="18"/>
              </w:rPr>
            </w:pPr>
            <w:r>
              <w:rPr>
                <w:rFonts w:ascii="Times New Roman"/>
                <w:sz w:val="18"/>
              </w:rPr>
              <w:t>1</w:t>
            </w:r>
          </w:p>
        </w:tc>
        <w:tc>
          <w:tcPr>
            <w:tcW w:w="1867" w:type="dxa"/>
            <w:tcBorders>
              <w:top w:val="single" w:color="auto" w:sz="8" w:space="0"/>
            </w:tcBorders>
            <w:shd w:val="clear" w:color="auto" w:fill="auto"/>
            <w:vAlign w:val="center"/>
          </w:tcPr>
          <w:p w14:paraId="78730431">
            <w:pPr>
              <w:spacing w:line="240" w:lineRule="auto"/>
              <w:jc w:val="center"/>
              <w:rPr>
                <w:rFonts w:ascii="Times New Roman"/>
                <w:sz w:val="18"/>
              </w:rPr>
            </w:pPr>
            <w:r>
              <w:rPr>
                <w:rFonts w:ascii="Times New Roman"/>
                <w:sz w:val="18"/>
              </w:rPr>
              <w:t>北</w:t>
            </w:r>
          </w:p>
        </w:tc>
        <w:tc>
          <w:tcPr>
            <w:tcW w:w="1867" w:type="dxa"/>
            <w:tcBorders>
              <w:top w:val="single" w:color="auto" w:sz="8" w:space="0"/>
            </w:tcBorders>
            <w:shd w:val="clear" w:color="auto" w:fill="auto"/>
            <w:vAlign w:val="center"/>
          </w:tcPr>
          <w:p w14:paraId="6F74D524">
            <w:pPr>
              <w:spacing w:line="240" w:lineRule="auto"/>
              <w:jc w:val="center"/>
              <w:rPr>
                <w:rFonts w:ascii="Times New Roman"/>
                <w:sz w:val="18"/>
              </w:rPr>
            </w:pPr>
            <w:r>
              <w:rPr>
                <w:rFonts w:ascii="Times New Roman"/>
                <w:sz w:val="18"/>
              </w:rPr>
              <w:t>N</w:t>
            </w:r>
          </w:p>
        </w:tc>
        <w:tc>
          <w:tcPr>
            <w:tcW w:w="1867" w:type="dxa"/>
            <w:tcBorders>
              <w:top w:val="single" w:color="auto" w:sz="8" w:space="0"/>
            </w:tcBorders>
            <w:shd w:val="clear" w:color="auto" w:fill="auto"/>
            <w:vAlign w:val="center"/>
          </w:tcPr>
          <w:p w14:paraId="7021C454">
            <w:pPr>
              <w:spacing w:line="240" w:lineRule="auto"/>
              <w:jc w:val="center"/>
              <w:rPr>
                <w:rFonts w:ascii="Times New Roman"/>
                <w:sz w:val="18"/>
              </w:rPr>
            </w:pPr>
            <w:r>
              <w:rPr>
                <w:rFonts w:ascii="Times New Roman"/>
                <w:sz w:val="18"/>
              </w:rPr>
              <w:t>0</w:t>
            </w:r>
          </w:p>
        </w:tc>
        <w:tc>
          <w:tcPr>
            <w:tcW w:w="1867" w:type="dxa"/>
            <w:tcBorders>
              <w:top w:val="single" w:color="auto" w:sz="8" w:space="0"/>
            </w:tcBorders>
            <w:shd w:val="clear" w:color="auto" w:fill="auto"/>
            <w:vAlign w:val="center"/>
          </w:tcPr>
          <w:p w14:paraId="5A75CD44">
            <w:pPr>
              <w:spacing w:line="240" w:lineRule="auto"/>
              <w:jc w:val="center"/>
              <w:rPr>
                <w:rFonts w:ascii="Times New Roman"/>
                <w:sz w:val="18"/>
              </w:rPr>
            </w:pPr>
            <w:r>
              <w:rPr>
                <w:rFonts w:ascii="Times New Roman"/>
                <w:sz w:val="18"/>
              </w:rPr>
              <w:t>348.76-11.25</w:t>
            </w:r>
          </w:p>
        </w:tc>
      </w:tr>
      <w:tr w14:paraId="66524E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4F9F7F7F">
            <w:pPr>
              <w:spacing w:line="240" w:lineRule="auto"/>
              <w:jc w:val="center"/>
              <w:rPr>
                <w:rFonts w:ascii="Times New Roman"/>
                <w:sz w:val="18"/>
              </w:rPr>
            </w:pPr>
            <w:r>
              <w:rPr>
                <w:rFonts w:ascii="Times New Roman"/>
                <w:sz w:val="18"/>
              </w:rPr>
              <w:t>2</w:t>
            </w:r>
          </w:p>
        </w:tc>
        <w:tc>
          <w:tcPr>
            <w:tcW w:w="1867" w:type="dxa"/>
            <w:shd w:val="clear" w:color="auto" w:fill="auto"/>
            <w:vAlign w:val="center"/>
          </w:tcPr>
          <w:p w14:paraId="34EB01FB">
            <w:pPr>
              <w:spacing w:line="240" w:lineRule="auto"/>
              <w:jc w:val="center"/>
              <w:rPr>
                <w:rFonts w:ascii="Times New Roman"/>
                <w:sz w:val="18"/>
              </w:rPr>
            </w:pPr>
            <w:r>
              <w:rPr>
                <w:rFonts w:ascii="Times New Roman"/>
                <w:sz w:val="18"/>
              </w:rPr>
              <w:t>北东北</w:t>
            </w:r>
          </w:p>
        </w:tc>
        <w:tc>
          <w:tcPr>
            <w:tcW w:w="1867" w:type="dxa"/>
            <w:shd w:val="clear" w:color="auto" w:fill="auto"/>
            <w:vAlign w:val="center"/>
          </w:tcPr>
          <w:p w14:paraId="36B7C1AB">
            <w:pPr>
              <w:spacing w:line="240" w:lineRule="auto"/>
              <w:jc w:val="center"/>
              <w:rPr>
                <w:rFonts w:ascii="Times New Roman"/>
                <w:sz w:val="18"/>
              </w:rPr>
            </w:pPr>
            <w:r>
              <w:rPr>
                <w:rFonts w:ascii="Times New Roman"/>
                <w:sz w:val="18"/>
              </w:rPr>
              <w:t>NNE</w:t>
            </w:r>
          </w:p>
        </w:tc>
        <w:tc>
          <w:tcPr>
            <w:tcW w:w="1867" w:type="dxa"/>
            <w:shd w:val="clear" w:color="auto" w:fill="auto"/>
            <w:vAlign w:val="center"/>
          </w:tcPr>
          <w:p w14:paraId="428D7B89">
            <w:pPr>
              <w:spacing w:line="240" w:lineRule="auto"/>
              <w:jc w:val="center"/>
              <w:rPr>
                <w:rFonts w:ascii="Times New Roman"/>
                <w:sz w:val="18"/>
              </w:rPr>
            </w:pPr>
            <w:r>
              <w:rPr>
                <w:rFonts w:ascii="Times New Roman"/>
                <w:sz w:val="18"/>
              </w:rPr>
              <w:t>22.5</w:t>
            </w:r>
          </w:p>
        </w:tc>
        <w:tc>
          <w:tcPr>
            <w:tcW w:w="1867" w:type="dxa"/>
            <w:shd w:val="clear" w:color="auto" w:fill="auto"/>
            <w:vAlign w:val="center"/>
          </w:tcPr>
          <w:p w14:paraId="48C91C5F">
            <w:pPr>
              <w:spacing w:line="240" w:lineRule="auto"/>
              <w:jc w:val="center"/>
              <w:rPr>
                <w:rFonts w:ascii="Times New Roman"/>
                <w:sz w:val="18"/>
              </w:rPr>
            </w:pPr>
            <w:r>
              <w:rPr>
                <w:rFonts w:ascii="Times New Roman"/>
                <w:sz w:val="18"/>
              </w:rPr>
              <w:t>11.26-33.75</w:t>
            </w:r>
          </w:p>
        </w:tc>
      </w:tr>
      <w:tr w14:paraId="34780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E88B430">
            <w:pPr>
              <w:spacing w:line="240" w:lineRule="auto"/>
              <w:jc w:val="center"/>
              <w:rPr>
                <w:rFonts w:ascii="Times New Roman"/>
                <w:sz w:val="18"/>
              </w:rPr>
            </w:pPr>
            <w:r>
              <w:rPr>
                <w:rFonts w:ascii="Times New Roman"/>
                <w:sz w:val="18"/>
              </w:rPr>
              <w:t>3</w:t>
            </w:r>
          </w:p>
        </w:tc>
        <w:tc>
          <w:tcPr>
            <w:tcW w:w="1867" w:type="dxa"/>
            <w:shd w:val="clear" w:color="auto" w:fill="auto"/>
            <w:vAlign w:val="center"/>
          </w:tcPr>
          <w:p w14:paraId="5D759E7B">
            <w:pPr>
              <w:spacing w:line="240" w:lineRule="auto"/>
              <w:jc w:val="center"/>
              <w:rPr>
                <w:rFonts w:ascii="Times New Roman"/>
                <w:sz w:val="18"/>
              </w:rPr>
            </w:pPr>
            <w:r>
              <w:rPr>
                <w:rFonts w:ascii="Times New Roman"/>
                <w:sz w:val="18"/>
              </w:rPr>
              <w:t>东北</w:t>
            </w:r>
          </w:p>
        </w:tc>
        <w:tc>
          <w:tcPr>
            <w:tcW w:w="1867" w:type="dxa"/>
            <w:shd w:val="clear" w:color="auto" w:fill="auto"/>
            <w:vAlign w:val="center"/>
          </w:tcPr>
          <w:p w14:paraId="044DB712">
            <w:pPr>
              <w:spacing w:line="240" w:lineRule="auto"/>
              <w:jc w:val="center"/>
              <w:rPr>
                <w:rFonts w:ascii="Times New Roman"/>
                <w:sz w:val="18"/>
              </w:rPr>
            </w:pPr>
            <w:r>
              <w:rPr>
                <w:rFonts w:ascii="Times New Roman"/>
                <w:sz w:val="18"/>
              </w:rPr>
              <w:t>NE</w:t>
            </w:r>
          </w:p>
        </w:tc>
        <w:tc>
          <w:tcPr>
            <w:tcW w:w="1867" w:type="dxa"/>
            <w:shd w:val="clear" w:color="auto" w:fill="auto"/>
            <w:vAlign w:val="center"/>
          </w:tcPr>
          <w:p w14:paraId="3474CD9C">
            <w:pPr>
              <w:spacing w:line="240" w:lineRule="auto"/>
              <w:jc w:val="center"/>
              <w:rPr>
                <w:rFonts w:ascii="Times New Roman"/>
                <w:sz w:val="18"/>
              </w:rPr>
            </w:pPr>
            <w:r>
              <w:rPr>
                <w:rFonts w:ascii="Times New Roman"/>
                <w:sz w:val="18"/>
              </w:rPr>
              <w:t>45</w:t>
            </w:r>
          </w:p>
        </w:tc>
        <w:tc>
          <w:tcPr>
            <w:tcW w:w="1867" w:type="dxa"/>
            <w:shd w:val="clear" w:color="auto" w:fill="auto"/>
            <w:vAlign w:val="center"/>
          </w:tcPr>
          <w:p w14:paraId="0000A9A0">
            <w:pPr>
              <w:spacing w:line="240" w:lineRule="auto"/>
              <w:jc w:val="center"/>
              <w:rPr>
                <w:rFonts w:ascii="Times New Roman"/>
                <w:sz w:val="18"/>
              </w:rPr>
            </w:pPr>
            <w:r>
              <w:rPr>
                <w:rFonts w:ascii="Times New Roman"/>
                <w:sz w:val="18"/>
              </w:rPr>
              <w:t>33.76-56.25</w:t>
            </w:r>
          </w:p>
        </w:tc>
      </w:tr>
      <w:tr w14:paraId="5D6FB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C579C29">
            <w:pPr>
              <w:spacing w:line="240" w:lineRule="auto"/>
              <w:jc w:val="center"/>
              <w:rPr>
                <w:rFonts w:ascii="Times New Roman"/>
                <w:sz w:val="18"/>
              </w:rPr>
            </w:pPr>
            <w:r>
              <w:rPr>
                <w:rFonts w:ascii="Times New Roman"/>
                <w:sz w:val="18"/>
              </w:rPr>
              <w:t>4</w:t>
            </w:r>
          </w:p>
        </w:tc>
        <w:tc>
          <w:tcPr>
            <w:tcW w:w="1867" w:type="dxa"/>
            <w:shd w:val="clear" w:color="auto" w:fill="auto"/>
            <w:vAlign w:val="center"/>
          </w:tcPr>
          <w:p w14:paraId="480EC82E">
            <w:pPr>
              <w:spacing w:line="240" w:lineRule="auto"/>
              <w:jc w:val="center"/>
              <w:rPr>
                <w:rFonts w:ascii="Times New Roman"/>
                <w:sz w:val="18"/>
              </w:rPr>
            </w:pPr>
            <w:r>
              <w:rPr>
                <w:rFonts w:ascii="Times New Roman"/>
                <w:sz w:val="18"/>
              </w:rPr>
              <w:t>东东北</w:t>
            </w:r>
          </w:p>
        </w:tc>
        <w:tc>
          <w:tcPr>
            <w:tcW w:w="1867" w:type="dxa"/>
            <w:shd w:val="clear" w:color="auto" w:fill="auto"/>
            <w:vAlign w:val="center"/>
          </w:tcPr>
          <w:p w14:paraId="7A226D24">
            <w:pPr>
              <w:spacing w:line="240" w:lineRule="auto"/>
              <w:jc w:val="center"/>
              <w:rPr>
                <w:rFonts w:ascii="Times New Roman"/>
                <w:sz w:val="18"/>
              </w:rPr>
            </w:pPr>
            <w:r>
              <w:rPr>
                <w:rFonts w:ascii="Times New Roman"/>
                <w:sz w:val="18"/>
              </w:rPr>
              <w:t>ENE</w:t>
            </w:r>
          </w:p>
        </w:tc>
        <w:tc>
          <w:tcPr>
            <w:tcW w:w="1867" w:type="dxa"/>
            <w:shd w:val="clear" w:color="auto" w:fill="auto"/>
            <w:vAlign w:val="center"/>
          </w:tcPr>
          <w:p w14:paraId="15C1F584">
            <w:pPr>
              <w:spacing w:line="240" w:lineRule="auto"/>
              <w:jc w:val="center"/>
              <w:rPr>
                <w:rFonts w:ascii="Times New Roman"/>
                <w:sz w:val="18"/>
              </w:rPr>
            </w:pPr>
            <w:r>
              <w:rPr>
                <w:rFonts w:ascii="Times New Roman"/>
                <w:sz w:val="18"/>
              </w:rPr>
              <w:t>67.5</w:t>
            </w:r>
          </w:p>
        </w:tc>
        <w:tc>
          <w:tcPr>
            <w:tcW w:w="1867" w:type="dxa"/>
            <w:shd w:val="clear" w:color="auto" w:fill="auto"/>
            <w:vAlign w:val="center"/>
          </w:tcPr>
          <w:p w14:paraId="4CF4911C">
            <w:pPr>
              <w:spacing w:line="240" w:lineRule="auto"/>
              <w:jc w:val="center"/>
              <w:rPr>
                <w:rFonts w:ascii="Times New Roman"/>
                <w:sz w:val="18"/>
              </w:rPr>
            </w:pPr>
            <w:r>
              <w:rPr>
                <w:rFonts w:ascii="Times New Roman"/>
                <w:sz w:val="18"/>
              </w:rPr>
              <w:t>56.26-78.75</w:t>
            </w:r>
          </w:p>
        </w:tc>
      </w:tr>
      <w:tr w14:paraId="5E4AC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21A39F11">
            <w:pPr>
              <w:spacing w:line="240" w:lineRule="auto"/>
              <w:jc w:val="center"/>
              <w:rPr>
                <w:rFonts w:ascii="Times New Roman"/>
                <w:sz w:val="18"/>
              </w:rPr>
            </w:pPr>
            <w:r>
              <w:rPr>
                <w:rFonts w:ascii="Times New Roman"/>
                <w:sz w:val="18"/>
              </w:rPr>
              <w:t>5</w:t>
            </w:r>
          </w:p>
        </w:tc>
        <w:tc>
          <w:tcPr>
            <w:tcW w:w="1867" w:type="dxa"/>
            <w:shd w:val="clear" w:color="auto" w:fill="auto"/>
            <w:vAlign w:val="center"/>
          </w:tcPr>
          <w:p w14:paraId="1D1A11B7">
            <w:pPr>
              <w:spacing w:line="240" w:lineRule="auto"/>
              <w:jc w:val="center"/>
              <w:rPr>
                <w:rFonts w:ascii="Times New Roman"/>
                <w:sz w:val="18"/>
              </w:rPr>
            </w:pPr>
            <w:r>
              <w:rPr>
                <w:rFonts w:ascii="Times New Roman"/>
                <w:sz w:val="18"/>
              </w:rPr>
              <w:t>东</w:t>
            </w:r>
          </w:p>
        </w:tc>
        <w:tc>
          <w:tcPr>
            <w:tcW w:w="1867" w:type="dxa"/>
            <w:shd w:val="clear" w:color="auto" w:fill="auto"/>
            <w:vAlign w:val="center"/>
          </w:tcPr>
          <w:p w14:paraId="0C265859">
            <w:pPr>
              <w:spacing w:line="240" w:lineRule="auto"/>
              <w:jc w:val="center"/>
              <w:rPr>
                <w:rFonts w:ascii="Times New Roman"/>
                <w:sz w:val="18"/>
              </w:rPr>
            </w:pPr>
            <w:r>
              <w:rPr>
                <w:rFonts w:ascii="Times New Roman"/>
                <w:sz w:val="18"/>
              </w:rPr>
              <w:t>E</w:t>
            </w:r>
          </w:p>
        </w:tc>
        <w:tc>
          <w:tcPr>
            <w:tcW w:w="1867" w:type="dxa"/>
            <w:shd w:val="clear" w:color="auto" w:fill="auto"/>
            <w:vAlign w:val="center"/>
          </w:tcPr>
          <w:p w14:paraId="36181105">
            <w:pPr>
              <w:spacing w:line="240" w:lineRule="auto"/>
              <w:jc w:val="center"/>
              <w:rPr>
                <w:rFonts w:ascii="Times New Roman"/>
                <w:sz w:val="18"/>
              </w:rPr>
            </w:pPr>
            <w:r>
              <w:rPr>
                <w:rFonts w:ascii="Times New Roman"/>
                <w:sz w:val="18"/>
              </w:rPr>
              <w:t>90</w:t>
            </w:r>
          </w:p>
        </w:tc>
        <w:tc>
          <w:tcPr>
            <w:tcW w:w="1867" w:type="dxa"/>
            <w:shd w:val="clear" w:color="auto" w:fill="auto"/>
            <w:vAlign w:val="center"/>
          </w:tcPr>
          <w:p w14:paraId="5451B99E">
            <w:pPr>
              <w:spacing w:line="240" w:lineRule="auto"/>
              <w:jc w:val="center"/>
              <w:rPr>
                <w:rFonts w:ascii="Times New Roman"/>
                <w:sz w:val="18"/>
              </w:rPr>
            </w:pPr>
            <w:r>
              <w:rPr>
                <w:rFonts w:ascii="Times New Roman"/>
                <w:sz w:val="18"/>
              </w:rPr>
              <w:t>78.76-101.25</w:t>
            </w:r>
          </w:p>
        </w:tc>
      </w:tr>
      <w:tr w14:paraId="3EE46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52F95CD">
            <w:pPr>
              <w:spacing w:line="240" w:lineRule="auto"/>
              <w:jc w:val="center"/>
              <w:rPr>
                <w:rFonts w:ascii="Times New Roman"/>
                <w:sz w:val="18"/>
              </w:rPr>
            </w:pPr>
            <w:r>
              <w:rPr>
                <w:rFonts w:ascii="Times New Roman"/>
                <w:sz w:val="18"/>
              </w:rPr>
              <w:t>6</w:t>
            </w:r>
          </w:p>
        </w:tc>
        <w:tc>
          <w:tcPr>
            <w:tcW w:w="1867" w:type="dxa"/>
            <w:shd w:val="clear" w:color="auto" w:fill="auto"/>
            <w:vAlign w:val="center"/>
          </w:tcPr>
          <w:p w14:paraId="3D92D99A">
            <w:pPr>
              <w:spacing w:line="240" w:lineRule="auto"/>
              <w:jc w:val="center"/>
              <w:rPr>
                <w:rFonts w:ascii="Times New Roman"/>
                <w:sz w:val="18"/>
              </w:rPr>
            </w:pPr>
            <w:r>
              <w:rPr>
                <w:rFonts w:ascii="Times New Roman"/>
                <w:sz w:val="18"/>
              </w:rPr>
              <w:t>东东南</w:t>
            </w:r>
          </w:p>
        </w:tc>
        <w:tc>
          <w:tcPr>
            <w:tcW w:w="1867" w:type="dxa"/>
            <w:shd w:val="clear" w:color="auto" w:fill="auto"/>
            <w:vAlign w:val="center"/>
          </w:tcPr>
          <w:p w14:paraId="45B2B3CC">
            <w:pPr>
              <w:spacing w:line="240" w:lineRule="auto"/>
              <w:jc w:val="center"/>
              <w:rPr>
                <w:rFonts w:ascii="Times New Roman"/>
                <w:sz w:val="18"/>
              </w:rPr>
            </w:pPr>
            <w:r>
              <w:rPr>
                <w:rFonts w:ascii="Times New Roman"/>
                <w:sz w:val="18"/>
              </w:rPr>
              <w:t>ESE</w:t>
            </w:r>
          </w:p>
        </w:tc>
        <w:tc>
          <w:tcPr>
            <w:tcW w:w="1867" w:type="dxa"/>
            <w:shd w:val="clear" w:color="auto" w:fill="auto"/>
            <w:vAlign w:val="center"/>
          </w:tcPr>
          <w:p w14:paraId="73A8848E">
            <w:pPr>
              <w:spacing w:line="240" w:lineRule="auto"/>
              <w:jc w:val="center"/>
              <w:rPr>
                <w:rFonts w:ascii="Times New Roman"/>
                <w:sz w:val="18"/>
              </w:rPr>
            </w:pPr>
            <w:r>
              <w:rPr>
                <w:rFonts w:ascii="Times New Roman"/>
                <w:sz w:val="18"/>
              </w:rPr>
              <w:t>112.5</w:t>
            </w:r>
          </w:p>
        </w:tc>
        <w:tc>
          <w:tcPr>
            <w:tcW w:w="1867" w:type="dxa"/>
            <w:shd w:val="clear" w:color="auto" w:fill="auto"/>
            <w:vAlign w:val="center"/>
          </w:tcPr>
          <w:p w14:paraId="22F2278F">
            <w:pPr>
              <w:spacing w:line="240" w:lineRule="auto"/>
              <w:jc w:val="center"/>
              <w:rPr>
                <w:rFonts w:ascii="Times New Roman"/>
                <w:sz w:val="18"/>
              </w:rPr>
            </w:pPr>
            <w:r>
              <w:rPr>
                <w:rFonts w:ascii="Times New Roman"/>
                <w:sz w:val="18"/>
              </w:rPr>
              <w:t>101.26-123.75</w:t>
            </w:r>
          </w:p>
        </w:tc>
      </w:tr>
      <w:tr w14:paraId="645E7D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5B9ED1DE">
            <w:pPr>
              <w:spacing w:line="240" w:lineRule="auto"/>
              <w:jc w:val="center"/>
              <w:rPr>
                <w:rFonts w:ascii="Times New Roman"/>
                <w:sz w:val="18"/>
              </w:rPr>
            </w:pPr>
            <w:r>
              <w:rPr>
                <w:rFonts w:ascii="Times New Roman"/>
                <w:sz w:val="18"/>
              </w:rPr>
              <w:t>7</w:t>
            </w:r>
          </w:p>
        </w:tc>
        <w:tc>
          <w:tcPr>
            <w:tcW w:w="1867" w:type="dxa"/>
            <w:shd w:val="clear" w:color="auto" w:fill="auto"/>
            <w:vAlign w:val="center"/>
          </w:tcPr>
          <w:p w14:paraId="76E609B0">
            <w:pPr>
              <w:spacing w:line="240" w:lineRule="auto"/>
              <w:jc w:val="center"/>
              <w:rPr>
                <w:rFonts w:ascii="Times New Roman"/>
                <w:sz w:val="18"/>
              </w:rPr>
            </w:pPr>
            <w:r>
              <w:rPr>
                <w:rFonts w:ascii="Times New Roman"/>
                <w:sz w:val="18"/>
              </w:rPr>
              <w:t>东南</w:t>
            </w:r>
          </w:p>
        </w:tc>
        <w:tc>
          <w:tcPr>
            <w:tcW w:w="1867" w:type="dxa"/>
            <w:shd w:val="clear" w:color="auto" w:fill="auto"/>
            <w:vAlign w:val="center"/>
          </w:tcPr>
          <w:p w14:paraId="720E8F2F">
            <w:pPr>
              <w:spacing w:line="240" w:lineRule="auto"/>
              <w:jc w:val="center"/>
              <w:rPr>
                <w:rFonts w:ascii="Times New Roman"/>
                <w:sz w:val="18"/>
              </w:rPr>
            </w:pPr>
            <w:r>
              <w:rPr>
                <w:rFonts w:ascii="Times New Roman"/>
                <w:sz w:val="18"/>
              </w:rPr>
              <w:t>SE</w:t>
            </w:r>
          </w:p>
        </w:tc>
        <w:tc>
          <w:tcPr>
            <w:tcW w:w="1867" w:type="dxa"/>
            <w:shd w:val="clear" w:color="auto" w:fill="auto"/>
            <w:vAlign w:val="center"/>
          </w:tcPr>
          <w:p w14:paraId="3397EDCB">
            <w:pPr>
              <w:spacing w:line="240" w:lineRule="auto"/>
              <w:jc w:val="center"/>
              <w:rPr>
                <w:rFonts w:ascii="Times New Roman"/>
                <w:sz w:val="18"/>
              </w:rPr>
            </w:pPr>
            <w:r>
              <w:rPr>
                <w:rFonts w:ascii="Times New Roman"/>
                <w:sz w:val="18"/>
              </w:rPr>
              <w:t>135</w:t>
            </w:r>
          </w:p>
        </w:tc>
        <w:tc>
          <w:tcPr>
            <w:tcW w:w="1867" w:type="dxa"/>
            <w:shd w:val="clear" w:color="auto" w:fill="auto"/>
            <w:vAlign w:val="center"/>
          </w:tcPr>
          <w:p w14:paraId="668A57FD">
            <w:pPr>
              <w:spacing w:line="240" w:lineRule="auto"/>
              <w:jc w:val="center"/>
              <w:rPr>
                <w:rFonts w:ascii="Times New Roman"/>
                <w:sz w:val="18"/>
              </w:rPr>
            </w:pPr>
            <w:r>
              <w:rPr>
                <w:rFonts w:ascii="Times New Roman"/>
                <w:sz w:val="18"/>
              </w:rPr>
              <w:t>123.76-146.25</w:t>
            </w:r>
          </w:p>
        </w:tc>
      </w:tr>
      <w:tr w14:paraId="7A16C8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18032846">
            <w:pPr>
              <w:spacing w:line="240" w:lineRule="auto"/>
              <w:jc w:val="center"/>
              <w:rPr>
                <w:rFonts w:ascii="Times New Roman"/>
                <w:sz w:val="18"/>
              </w:rPr>
            </w:pPr>
            <w:r>
              <w:rPr>
                <w:rFonts w:ascii="Times New Roman"/>
                <w:sz w:val="18"/>
              </w:rPr>
              <w:t>8</w:t>
            </w:r>
          </w:p>
        </w:tc>
        <w:tc>
          <w:tcPr>
            <w:tcW w:w="1867" w:type="dxa"/>
            <w:shd w:val="clear" w:color="auto" w:fill="auto"/>
            <w:vAlign w:val="center"/>
          </w:tcPr>
          <w:p w14:paraId="4C2CB2B0">
            <w:pPr>
              <w:spacing w:line="240" w:lineRule="auto"/>
              <w:jc w:val="center"/>
              <w:rPr>
                <w:rFonts w:ascii="Times New Roman"/>
                <w:sz w:val="18"/>
              </w:rPr>
            </w:pPr>
            <w:r>
              <w:rPr>
                <w:rFonts w:ascii="Times New Roman"/>
                <w:sz w:val="18"/>
              </w:rPr>
              <w:t>南东南</w:t>
            </w:r>
          </w:p>
        </w:tc>
        <w:tc>
          <w:tcPr>
            <w:tcW w:w="1867" w:type="dxa"/>
            <w:shd w:val="clear" w:color="auto" w:fill="auto"/>
            <w:vAlign w:val="center"/>
          </w:tcPr>
          <w:p w14:paraId="69CFD8AF">
            <w:pPr>
              <w:spacing w:line="240" w:lineRule="auto"/>
              <w:jc w:val="center"/>
              <w:rPr>
                <w:rFonts w:ascii="Times New Roman"/>
                <w:sz w:val="18"/>
              </w:rPr>
            </w:pPr>
            <w:r>
              <w:rPr>
                <w:rFonts w:ascii="Times New Roman"/>
                <w:sz w:val="18"/>
              </w:rPr>
              <w:t>SSE</w:t>
            </w:r>
          </w:p>
        </w:tc>
        <w:tc>
          <w:tcPr>
            <w:tcW w:w="1867" w:type="dxa"/>
            <w:shd w:val="clear" w:color="auto" w:fill="auto"/>
            <w:vAlign w:val="center"/>
          </w:tcPr>
          <w:p w14:paraId="65B8AE1A">
            <w:pPr>
              <w:spacing w:line="240" w:lineRule="auto"/>
              <w:jc w:val="center"/>
              <w:rPr>
                <w:rFonts w:ascii="Times New Roman"/>
                <w:sz w:val="18"/>
              </w:rPr>
            </w:pPr>
            <w:r>
              <w:rPr>
                <w:rFonts w:ascii="Times New Roman"/>
                <w:sz w:val="18"/>
              </w:rPr>
              <w:t>157.5</w:t>
            </w:r>
          </w:p>
        </w:tc>
        <w:tc>
          <w:tcPr>
            <w:tcW w:w="1867" w:type="dxa"/>
            <w:shd w:val="clear" w:color="auto" w:fill="auto"/>
            <w:vAlign w:val="center"/>
          </w:tcPr>
          <w:p w14:paraId="78FC174C">
            <w:pPr>
              <w:spacing w:line="240" w:lineRule="auto"/>
              <w:jc w:val="center"/>
              <w:rPr>
                <w:rFonts w:ascii="Times New Roman"/>
                <w:sz w:val="18"/>
              </w:rPr>
            </w:pPr>
            <w:r>
              <w:rPr>
                <w:rFonts w:ascii="Times New Roman"/>
                <w:sz w:val="18"/>
              </w:rPr>
              <w:t>146.26-168.75</w:t>
            </w:r>
          </w:p>
        </w:tc>
      </w:tr>
      <w:tr w14:paraId="5DC729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5715D28D">
            <w:pPr>
              <w:spacing w:line="240" w:lineRule="auto"/>
              <w:jc w:val="center"/>
              <w:rPr>
                <w:rFonts w:ascii="Times New Roman"/>
                <w:sz w:val="18"/>
              </w:rPr>
            </w:pPr>
            <w:r>
              <w:rPr>
                <w:rFonts w:ascii="Times New Roman"/>
                <w:sz w:val="18"/>
              </w:rPr>
              <w:t>9</w:t>
            </w:r>
          </w:p>
        </w:tc>
        <w:tc>
          <w:tcPr>
            <w:tcW w:w="1867" w:type="dxa"/>
            <w:shd w:val="clear" w:color="auto" w:fill="auto"/>
            <w:vAlign w:val="center"/>
          </w:tcPr>
          <w:p w14:paraId="7B3B4A27">
            <w:pPr>
              <w:spacing w:line="240" w:lineRule="auto"/>
              <w:jc w:val="center"/>
              <w:rPr>
                <w:rFonts w:ascii="Times New Roman"/>
                <w:sz w:val="18"/>
              </w:rPr>
            </w:pPr>
            <w:r>
              <w:rPr>
                <w:rFonts w:ascii="Times New Roman"/>
                <w:sz w:val="18"/>
              </w:rPr>
              <w:t>南</w:t>
            </w:r>
          </w:p>
        </w:tc>
        <w:tc>
          <w:tcPr>
            <w:tcW w:w="1867" w:type="dxa"/>
            <w:shd w:val="clear" w:color="auto" w:fill="auto"/>
            <w:vAlign w:val="center"/>
          </w:tcPr>
          <w:p w14:paraId="2C98BFB1">
            <w:pPr>
              <w:spacing w:line="240" w:lineRule="auto"/>
              <w:jc w:val="center"/>
              <w:rPr>
                <w:rFonts w:ascii="Times New Roman"/>
                <w:sz w:val="18"/>
              </w:rPr>
            </w:pPr>
            <w:r>
              <w:rPr>
                <w:rFonts w:ascii="Times New Roman"/>
                <w:sz w:val="18"/>
              </w:rPr>
              <w:t>S</w:t>
            </w:r>
          </w:p>
        </w:tc>
        <w:tc>
          <w:tcPr>
            <w:tcW w:w="1867" w:type="dxa"/>
            <w:shd w:val="clear" w:color="auto" w:fill="auto"/>
            <w:vAlign w:val="center"/>
          </w:tcPr>
          <w:p w14:paraId="7AFEB726">
            <w:pPr>
              <w:spacing w:line="240" w:lineRule="auto"/>
              <w:jc w:val="center"/>
              <w:rPr>
                <w:rFonts w:ascii="Times New Roman"/>
                <w:sz w:val="18"/>
              </w:rPr>
            </w:pPr>
            <w:r>
              <w:rPr>
                <w:rFonts w:ascii="Times New Roman"/>
                <w:sz w:val="18"/>
              </w:rPr>
              <w:t>180</w:t>
            </w:r>
          </w:p>
        </w:tc>
        <w:tc>
          <w:tcPr>
            <w:tcW w:w="1867" w:type="dxa"/>
            <w:shd w:val="clear" w:color="auto" w:fill="auto"/>
            <w:vAlign w:val="center"/>
          </w:tcPr>
          <w:p w14:paraId="18C52272">
            <w:pPr>
              <w:spacing w:line="240" w:lineRule="auto"/>
              <w:jc w:val="center"/>
              <w:rPr>
                <w:rFonts w:ascii="Times New Roman"/>
                <w:sz w:val="18"/>
              </w:rPr>
            </w:pPr>
            <w:r>
              <w:rPr>
                <w:rFonts w:ascii="Times New Roman"/>
                <w:sz w:val="18"/>
              </w:rPr>
              <w:t>168.76-191.25</w:t>
            </w:r>
          </w:p>
        </w:tc>
      </w:tr>
      <w:tr w14:paraId="2C87B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3C9ACA9A">
            <w:pPr>
              <w:spacing w:line="240" w:lineRule="auto"/>
              <w:jc w:val="center"/>
              <w:rPr>
                <w:rFonts w:ascii="Times New Roman"/>
                <w:sz w:val="18"/>
              </w:rPr>
            </w:pPr>
            <w:r>
              <w:rPr>
                <w:rFonts w:ascii="Times New Roman"/>
                <w:sz w:val="18"/>
              </w:rPr>
              <w:t>10</w:t>
            </w:r>
          </w:p>
        </w:tc>
        <w:tc>
          <w:tcPr>
            <w:tcW w:w="1867" w:type="dxa"/>
            <w:shd w:val="clear" w:color="auto" w:fill="auto"/>
            <w:vAlign w:val="center"/>
          </w:tcPr>
          <w:p w14:paraId="195B53D5">
            <w:pPr>
              <w:spacing w:line="240" w:lineRule="auto"/>
              <w:jc w:val="center"/>
              <w:rPr>
                <w:rFonts w:ascii="Times New Roman"/>
                <w:sz w:val="18"/>
              </w:rPr>
            </w:pPr>
            <w:r>
              <w:rPr>
                <w:rFonts w:ascii="Times New Roman"/>
                <w:sz w:val="18"/>
              </w:rPr>
              <w:t>南西南</w:t>
            </w:r>
          </w:p>
        </w:tc>
        <w:tc>
          <w:tcPr>
            <w:tcW w:w="1867" w:type="dxa"/>
            <w:shd w:val="clear" w:color="auto" w:fill="auto"/>
            <w:vAlign w:val="center"/>
          </w:tcPr>
          <w:p w14:paraId="5FABDCB5">
            <w:pPr>
              <w:spacing w:line="240" w:lineRule="auto"/>
              <w:jc w:val="center"/>
              <w:rPr>
                <w:rFonts w:ascii="Times New Roman"/>
                <w:sz w:val="18"/>
              </w:rPr>
            </w:pPr>
            <w:r>
              <w:rPr>
                <w:rFonts w:ascii="Times New Roman"/>
                <w:sz w:val="18"/>
              </w:rPr>
              <w:t>SSW</w:t>
            </w:r>
          </w:p>
        </w:tc>
        <w:tc>
          <w:tcPr>
            <w:tcW w:w="1867" w:type="dxa"/>
            <w:shd w:val="clear" w:color="auto" w:fill="auto"/>
            <w:vAlign w:val="center"/>
          </w:tcPr>
          <w:p w14:paraId="5F3EECC9">
            <w:pPr>
              <w:spacing w:line="240" w:lineRule="auto"/>
              <w:jc w:val="center"/>
              <w:rPr>
                <w:rFonts w:ascii="Times New Roman"/>
                <w:sz w:val="18"/>
              </w:rPr>
            </w:pPr>
            <w:r>
              <w:rPr>
                <w:rFonts w:ascii="Times New Roman"/>
                <w:sz w:val="18"/>
              </w:rPr>
              <w:t>202.5</w:t>
            </w:r>
          </w:p>
        </w:tc>
        <w:tc>
          <w:tcPr>
            <w:tcW w:w="1867" w:type="dxa"/>
            <w:shd w:val="clear" w:color="auto" w:fill="auto"/>
            <w:vAlign w:val="center"/>
          </w:tcPr>
          <w:p w14:paraId="0C0EBD7B">
            <w:pPr>
              <w:spacing w:line="240" w:lineRule="auto"/>
              <w:jc w:val="center"/>
              <w:rPr>
                <w:rFonts w:ascii="Times New Roman"/>
                <w:sz w:val="18"/>
              </w:rPr>
            </w:pPr>
            <w:r>
              <w:rPr>
                <w:rFonts w:ascii="Times New Roman"/>
                <w:sz w:val="18"/>
              </w:rPr>
              <w:t>191.26-213.75</w:t>
            </w:r>
          </w:p>
        </w:tc>
      </w:tr>
      <w:tr w14:paraId="34924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EAC8B08">
            <w:pPr>
              <w:spacing w:line="240" w:lineRule="auto"/>
              <w:jc w:val="center"/>
              <w:rPr>
                <w:rFonts w:ascii="Times New Roman"/>
                <w:sz w:val="18"/>
              </w:rPr>
            </w:pPr>
            <w:r>
              <w:rPr>
                <w:rFonts w:ascii="Times New Roman"/>
                <w:sz w:val="18"/>
              </w:rPr>
              <w:t>11</w:t>
            </w:r>
          </w:p>
        </w:tc>
        <w:tc>
          <w:tcPr>
            <w:tcW w:w="1867" w:type="dxa"/>
            <w:shd w:val="clear" w:color="auto" w:fill="auto"/>
            <w:vAlign w:val="center"/>
          </w:tcPr>
          <w:p w14:paraId="6C5EAB36">
            <w:pPr>
              <w:spacing w:line="240" w:lineRule="auto"/>
              <w:jc w:val="center"/>
              <w:rPr>
                <w:rFonts w:ascii="Times New Roman"/>
                <w:sz w:val="18"/>
              </w:rPr>
            </w:pPr>
            <w:r>
              <w:rPr>
                <w:rFonts w:ascii="Times New Roman"/>
                <w:sz w:val="18"/>
              </w:rPr>
              <w:t>西南</w:t>
            </w:r>
          </w:p>
        </w:tc>
        <w:tc>
          <w:tcPr>
            <w:tcW w:w="1867" w:type="dxa"/>
            <w:shd w:val="clear" w:color="auto" w:fill="auto"/>
            <w:vAlign w:val="center"/>
          </w:tcPr>
          <w:p w14:paraId="06DB39D2">
            <w:pPr>
              <w:spacing w:line="240" w:lineRule="auto"/>
              <w:jc w:val="center"/>
              <w:rPr>
                <w:rFonts w:ascii="Times New Roman"/>
                <w:sz w:val="18"/>
              </w:rPr>
            </w:pPr>
            <w:r>
              <w:rPr>
                <w:rFonts w:ascii="Times New Roman"/>
                <w:sz w:val="18"/>
              </w:rPr>
              <w:t>SW</w:t>
            </w:r>
          </w:p>
        </w:tc>
        <w:tc>
          <w:tcPr>
            <w:tcW w:w="1867" w:type="dxa"/>
            <w:shd w:val="clear" w:color="auto" w:fill="auto"/>
            <w:vAlign w:val="center"/>
          </w:tcPr>
          <w:p w14:paraId="2345E2DD">
            <w:pPr>
              <w:spacing w:line="240" w:lineRule="auto"/>
              <w:jc w:val="center"/>
              <w:rPr>
                <w:rFonts w:ascii="Times New Roman"/>
                <w:sz w:val="18"/>
              </w:rPr>
            </w:pPr>
            <w:r>
              <w:rPr>
                <w:rFonts w:ascii="Times New Roman"/>
                <w:sz w:val="18"/>
              </w:rPr>
              <w:t>225</w:t>
            </w:r>
          </w:p>
        </w:tc>
        <w:tc>
          <w:tcPr>
            <w:tcW w:w="1867" w:type="dxa"/>
            <w:shd w:val="clear" w:color="auto" w:fill="auto"/>
            <w:vAlign w:val="center"/>
          </w:tcPr>
          <w:p w14:paraId="4B1D0D41">
            <w:pPr>
              <w:spacing w:line="240" w:lineRule="auto"/>
              <w:jc w:val="center"/>
              <w:rPr>
                <w:rFonts w:ascii="Times New Roman"/>
                <w:sz w:val="18"/>
              </w:rPr>
            </w:pPr>
            <w:r>
              <w:rPr>
                <w:rFonts w:ascii="Times New Roman"/>
                <w:sz w:val="18"/>
              </w:rPr>
              <w:t>213.76-236.25</w:t>
            </w:r>
          </w:p>
        </w:tc>
      </w:tr>
      <w:tr w14:paraId="203BF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C08851A">
            <w:pPr>
              <w:spacing w:line="240" w:lineRule="auto"/>
              <w:jc w:val="center"/>
              <w:rPr>
                <w:rFonts w:ascii="Times New Roman"/>
                <w:sz w:val="18"/>
              </w:rPr>
            </w:pPr>
            <w:r>
              <w:rPr>
                <w:rFonts w:ascii="Times New Roman"/>
                <w:sz w:val="18"/>
              </w:rPr>
              <w:t>12</w:t>
            </w:r>
          </w:p>
        </w:tc>
        <w:tc>
          <w:tcPr>
            <w:tcW w:w="1867" w:type="dxa"/>
            <w:shd w:val="clear" w:color="auto" w:fill="auto"/>
            <w:vAlign w:val="center"/>
          </w:tcPr>
          <w:p w14:paraId="1DE7390C">
            <w:pPr>
              <w:spacing w:line="240" w:lineRule="auto"/>
              <w:jc w:val="center"/>
              <w:rPr>
                <w:rFonts w:ascii="Times New Roman"/>
                <w:sz w:val="18"/>
              </w:rPr>
            </w:pPr>
            <w:r>
              <w:rPr>
                <w:rFonts w:ascii="Times New Roman"/>
                <w:sz w:val="18"/>
              </w:rPr>
              <w:t>西西南</w:t>
            </w:r>
          </w:p>
        </w:tc>
        <w:tc>
          <w:tcPr>
            <w:tcW w:w="1867" w:type="dxa"/>
            <w:shd w:val="clear" w:color="auto" w:fill="auto"/>
            <w:vAlign w:val="center"/>
          </w:tcPr>
          <w:p w14:paraId="4A844BEA">
            <w:pPr>
              <w:spacing w:line="240" w:lineRule="auto"/>
              <w:jc w:val="center"/>
              <w:rPr>
                <w:rFonts w:ascii="Times New Roman"/>
                <w:sz w:val="18"/>
              </w:rPr>
            </w:pPr>
            <w:r>
              <w:rPr>
                <w:rFonts w:ascii="Times New Roman"/>
                <w:sz w:val="18"/>
              </w:rPr>
              <w:t>WSW</w:t>
            </w:r>
          </w:p>
        </w:tc>
        <w:tc>
          <w:tcPr>
            <w:tcW w:w="1867" w:type="dxa"/>
            <w:shd w:val="clear" w:color="auto" w:fill="auto"/>
            <w:vAlign w:val="center"/>
          </w:tcPr>
          <w:p w14:paraId="50611F95">
            <w:pPr>
              <w:spacing w:line="240" w:lineRule="auto"/>
              <w:jc w:val="center"/>
              <w:rPr>
                <w:rFonts w:ascii="Times New Roman"/>
                <w:sz w:val="18"/>
              </w:rPr>
            </w:pPr>
            <w:r>
              <w:rPr>
                <w:rFonts w:ascii="Times New Roman"/>
                <w:sz w:val="18"/>
              </w:rPr>
              <w:t>247.5</w:t>
            </w:r>
          </w:p>
        </w:tc>
        <w:tc>
          <w:tcPr>
            <w:tcW w:w="1867" w:type="dxa"/>
            <w:shd w:val="clear" w:color="auto" w:fill="auto"/>
            <w:vAlign w:val="center"/>
          </w:tcPr>
          <w:p w14:paraId="39056D39">
            <w:pPr>
              <w:spacing w:line="240" w:lineRule="auto"/>
              <w:jc w:val="center"/>
              <w:rPr>
                <w:rFonts w:ascii="Times New Roman"/>
                <w:sz w:val="18"/>
              </w:rPr>
            </w:pPr>
            <w:r>
              <w:rPr>
                <w:rFonts w:ascii="Times New Roman"/>
                <w:sz w:val="18"/>
              </w:rPr>
              <w:t>236.26-258.75</w:t>
            </w:r>
          </w:p>
        </w:tc>
      </w:tr>
      <w:tr w14:paraId="402F33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36C8A90F">
            <w:pPr>
              <w:spacing w:line="240" w:lineRule="auto"/>
              <w:jc w:val="center"/>
              <w:rPr>
                <w:rFonts w:ascii="Times New Roman"/>
                <w:sz w:val="18"/>
              </w:rPr>
            </w:pPr>
            <w:r>
              <w:rPr>
                <w:rFonts w:ascii="Times New Roman"/>
                <w:sz w:val="18"/>
              </w:rPr>
              <w:t>13</w:t>
            </w:r>
          </w:p>
        </w:tc>
        <w:tc>
          <w:tcPr>
            <w:tcW w:w="1867" w:type="dxa"/>
            <w:shd w:val="clear" w:color="auto" w:fill="auto"/>
            <w:vAlign w:val="center"/>
          </w:tcPr>
          <w:p w14:paraId="4B0A864E">
            <w:pPr>
              <w:spacing w:line="240" w:lineRule="auto"/>
              <w:jc w:val="center"/>
              <w:rPr>
                <w:rFonts w:ascii="Times New Roman"/>
                <w:sz w:val="18"/>
              </w:rPr>
            </w:pPr>
            <w:r>
              <w:rPr>
                <w:rFonts w:ascii="Times New Roman"/>
                <w:sz w:val="18"/>
              </w:rPr>
              <w:t>西</w:t>
            </w:r>
          </w:p>
        </w:tc>
        <w:tc>
          <w:tcPr>
            <w:tcW w:w="1867" w:type="dxa"/>
            <w:shd w:val="clear" w:color="auto" w:fill="auto"/>
            <w:vAlign w:val="center"/>
          </w:tcPr>
          <w:p w14:paraId="6DCF40B7">
            <w:pPr>
              <w:spacing w:line="240" w:lineRule="auto"/>
              <w:jc w:val="center"/>
              <w:rPr>
                <w:rFonts w:ascii="Times New Roman"/>
                <w:sz w:val="18"/>
              </w:rPr>
            </w:pPr>
            <w:r>
              <w:rPr>
                <w:rFonts w:ascii="Times New Roman"/>
                <w:sz w:val="18"/>
              </w:rPr>
              <w:t>W</w:t>
            </w:r>
          </w:p>
        </w:tc>
        <w:tc>
          <w:tcPr>
            <w:tcW w:w="1867" w:type="dxa"/>
            <w:shd w:val="clear" w:color="auto" w:fill="auto"/>
            <w:vAlign w:val="center"/>
          </w:tcPr>
          <w:p w14:paraId="42F29947">
            <w:pPr>
              <w:spacing w:line="240" w:lineRule="auto"/>
              <w:jc w:val="center"/>
              <w:rPr>
                <w:rFonts w:ascii="Times New Roman"/>
                <w:sz w:val="18"/>
              </w:rPr>
            </w:pPr>
            <w:r>
              <w:rPr>
                <w:rFonts w:ascii="Times New Roman"/>
                <w:sz w:val="18"/>
              </w:rPr>
              <w:t>270</w:t>
            </w:r>
          </w:p>
        </w:tc>
        <w:tc>
          <w:tcPr>
            <w:tcW w:w="1867" w:type="dxa"/>
            <w:shd w:val="clear" w:color="auto" w:fill="auto"/>
            <w:vAlign w:val="center"/>
          </w:tcPr>
          <w:p w14:paraId="6FEF08BD">
            <w:pPr>
              <w:spacing w:line="240" w:lineRule="auto"/>
              <w:jc w:val="center"/>
              <w:rPr>
                <w:rFonts w:ascii="Times New Roman"/>
                <w:sz w:val="18"/>
              </w:rPr>
            </w:pPr>
            <w:r>
              <w:rPr>
                <w:rFonts w:ascii="Times New Roman"/>
                <w:sz w:val="18"/>
              </w:rPr>
              <w:t>258.76-281.25</w:t>
            </w:r>
          </w:p>
        </w:tc>
      </w:tr>
      <w:tr w14:paraId="75A26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DDB2EA6">
            <w:pPr>
              <w:spacing w:line="240" w:lineRule="auto"/>
              <w:jc w:val="center"/>
              <w:rPr>
                <w:rFonts w:ascii="Times New Roman"/>
                <w:sz w:val="18"/>
              </w:rPr>
            </w:pPr>
            <w:r>
              <w:rPr>
                <w:rFonts w:ascii="Times New Roman"/>
                <w:sz w:val="18"/>
              </w:rPr>
              <w:t>14</w:t>
            </w:r>
          </w:p>
        </w:tc>
        <w:tc>
          <w:tcPr>
            <w:tcW w:w="1867" w:type="dxa"/>
            <w:shd w:val="clear" w:color="auto" w:fill="auto"/>
            <w:vAlign w:val="center"/>
          </w:tcPr>
          <w:p w14:paraId="0C998DBE">
            <w:pPr>
              <w:spacing w:line="240" w:lineRule="auto"/>
              <w:jc w:val="center"/>
              <w:rPr>
                <w:rFonts w:ascii="Times New Roman"/>
                <w:sz w:val="18"/>
              </w:rPr>
            </w:pPr>
            <w:r>
              <w:rPr>
                <w:rFonts w:ascii="Times New Roman"/>
                <w:sz w:val="18"/>
              </w:rPr>
              <w:t>西西北</w:t>
            </w:r>
          </w:p>
        </w:tc>
        <w:tc>
          <w:tcPr>
            <w:tcW w:w="1867" w:type="dxa"/>
            <w:shd w:val="clear" w:color="auto" w:fill="auto"/>
            <w:vAlign w:val="center"/>
          </w:tcPr>
          <w:p w14:paraId="79DF7A2D">
            <w:pPr>
              <w:spacing w:line="240" w:lineRule="auto"/>
              <w:jc w:val="center"/>
              <w:rPr>
                <w:rFonts w:ascii="Times New Roman"/>
                <w:sz w:val="18"/>
              </w:rPr>
            </w:pPr>
            <w:r>
              <w:rPr>
                <w:rFonts w:ascii="Times New Roman"/>
                <w:sz w:val="18"/>
              </w:rPr>
              <w:t>WNW</w:t>
            </w:r>
          </w:p>
        </w:tc>
        <w:tc>
          <w:tcPr>
            <w:tcW w:w="1867" w:type="dxa"/>
            <w:shd w:val="clear" w:color="auto" w:fill="auto"/>
            <w:vAlign w:val="center"/>
          </w:tcPr>
          <w:p w14:paraId="0D5F0D7B">
            <w:pPr>
              <w:spacing w:line="240" w:lineRule="auto"/>
              <w:jc w:val="center"/>
              <w:rPr>
                <w:rFonts w:ascii="Times New Roman"/>
                <w:sz w:val="18"/>
              </w:rPr>
            </w:pPr>
            <w:r>
              <w:rPr>
                <w:rFonts w:ascii="Times New Roman"/>
                <w:sz w:val="18"/>
              </w:rPr>
              <w:t>292.5</w:t>
            </w:r>
          </w:p>
        </w:tc>
        <w:tc>
          <w:tcPr>
            <w:tcW w:w="1867" w:type="dxa"/>
            <w:shd w:val="clear" w:color="auto" w:fill="auto"/>
            <w:vAlign w:val="center"/>
          </w:tcPr>
          <w:p w14:paraId="1294E85A">
            <w:pPr>
              <w:spacing w:line="240" w:lineRule="auto"/>
              <w:jc w:val="center"/>
              <w:rPr>
                <w:rFonts w:ascii="Times New Roman"/>
                <w:sz w:val="18"/>
              </w:rPr>
            </w:pPr>
            <w:r>
              <w:rPr>
                <w:rFonts w:ascii="Times New Roman"/>
                <w:sz w:val="18"/>
              </w:rPr>
              <w:t>281.26-303.75</w:t>
            </w:r>
          </w:p>
        </w:tc>
      </w:tr>
      <w:tr w14:paraId="19FBD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381B1D2">
            <w:pPr>
              <w:spacing w:line="240" w:lineRule="auto"/>
              <w:jc w:val="center"/>
              <w:rPr>
                <w:rFonts w:ascii="Times New Roman"/>
                <w:sz w:val="18"/>
              </w:rPr>
            </w:pPr>
            <w:r>
              <w:rPr>
                <w:rFonts w:ascii="Times New Roman"/>
                <w:sz w:val="18"/>
              </w:rPr>
              <w:t>15</w:t>
            </w:r>
          </w:p>
        </w:tc>
        <w:tc>
          <w:tcPr>
            <w:tcW w:w="1867" w:type="dxa"/>
            <w:shd w:val="clear" w:color="auto" w:fill="auto"/>
            <w:vAlign w:val="center"/>
          </w:tcPr>
          <w:p w14:paraId="518FAF29">
            <w:pPr>
              <w:spacing w:line="240" w:lineRule="auto"/>
              <w:jc w:val="center"/>
              <w:rPr>
                <w:rFonts w:ascii="Times New Roman"/>
                <w:sz w:val="18"/>
              </w:rPr>
            </w:pPr>
            <w:r>
              <w:rPr>
                <w:rFonts w:ascii="Times New Roman"/>
                <w:sz w:val="18"/>
              </w:rPr>
              <w:t>西北</w:t>
            </w:r>
          </w:p>
        </w:tc>
        <w:tc>
          <w:tcPr>
            <w:tcW w:w="1867" w:type="dxa"/>
            <w:shd w:val="clear" w:color="auto" w:fill="auto"/>
            <w:vAlign w:val="center"/>
          </w:tcPr>
          <w:p w14:paraId="103FAB10">
            <w:pPr>
              <w:spacing w:line="240" w:lineRule="auto"/>
              <w:jc w:val="center"/>
              <w:rPr>
                <w:rFonts w:ascii="Times New Roman"/>
                <w:sz w:val="18"/>
              </w:rPr>
            </w:pPr>
            <w:r>
              <w:rPr>
                <w:rFonts w:ascii="Times New Roman"/>
                <w:sz w:val="18"/>
              </w:rPr>
              <w:t>NW</w:t>
            </w:r>
          </w:p>
        </w:tc>
        <w:tc>
          <w:tcPr>
            <w:tcW w:w="1867" w:type="dxa"/>
            <w:shd w:val="clear" w:color="auto" w:fill="auto"/>
            <w:vAlign w:val="center"/>
          </w:tcPr>
          <w:p w14:paraId="75923F41">
            <w:pPr>
              <w:spacing w:line="240" w:lineRule="auto"/>
              <w:jc w:val="center"/>
              <w:rPr>
                <w:rFonts w:ascii="Times New Roman"/>
                <w:sz w:val="18"/>
              </w:rPr>
            </w:pPr>
            <w:r>
              <w:rPr>
                <w:rFonts w:ascii="Times New Roman"/>
                <w:sz w:val="18"/>
              </w:rPr>
              <w:t>315</w:t>
            </w:r>
          </w:p>
        </w:tc>
        <w:tc>
          <w:tcPr>
            <w:tcW w:w="1867" w:type="dxa"/>
            <w:shd w:val="clear" w:color="auto" w:fill="auto"/>
            <w:vAlign w:val="center"/>
          </w:tcPr>
          <w:p w14:paraId="06919488">
            <w:pPr>
              <w:spacing w:line="240" w:lineRule="auto"/>
              <w:jc w:val="center"/>
              <w:rPr>
                <w:rFonts w:ascii="Times New Roman"/>
                <w:sz w:val="18"/>
              </w:rPr>
            </w:pPr>
            <w:r>
              <w:rPr>
                <w:rFonts w:ascii="Times New Roman"/>
                <w:sz w:val="18"/>
              </w:rPr>
              <w:t>303.76-326.25</w:t>
            </w:r>
          </w:p>
        </w:tc>
      </w:tr>
      <w:tr w14:paraId="1E592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DBC27C5">
            <w:pPr>
              <w:spacing w:line="240" w:lineRule="auto"/>
              <w:jc w:val="center"/>
              <w:rPr>
                <w:rFonts w:ascii="Times New Roman"/>
                <w:sz w:val="18"/>
              </w:rPr>
            </w:pPr>
            <w:r>
              <w:rPr>
                <w:rFonts w:ascii="Times New Roman"/>
                <w:sz w:val="18"/>
              </w:rPr>
              <w:t>16</w:t>
            </w:r>
          </w:p>
        </w:tc>
        <w:tc>
          <w:tcPr>
            <w:tcW w:w="1867" w:type="dxa"/>
            <w:shd w:val="clear" w:color="auto" w:fill="auto"/>
            <w:vAlign w:val="center"/>
          </w:tcPr>
          <w:p w14:paraId="664EB051">
            <w:pPr>
              <w:spacing w:line="240" w:lineRule="auto"/>
              <w:jc w:val="center"/>
              <w:rPr>
                <w:rFonts w:ascii="Times New Roman"/>
                <w:sz w:val="18"/>
              </w:rPr>
            </w:pPr>
            <w:r>
              <w:rPr>
                <w:rFonts w:ascii="Times New Roman"/>
                <w:sz w:val="18"/>
              </w:rPr>
              <w:t>北西北</w:t>
            </w:r>
          </w:p>
        </w:tc>
        <w:tc>
          <w:tcPr>
            <w:tcW w:w="1867" w:type="dxa"/>
            <w:shd w:val="clear" w:color="auto" w:fill="auto"/>
            <w:vAlign w:val="center"/>
          </w:tcPr>
          <w:p w14:paraId="73CF0816">
            <w:pPr>
              <w:spacing w:line="240" w:lineRule="auto"/>
              <w:jc w:val="center"/>
              <w:rPr>
                <w:rFonts w:ascii="Times New Roman"/>
                <w:sz w:val="18"/>
              </w:rPr>
            </w:pPr>
            <w:r>
              <w:rPr>
                <w:rFonts w:ascii="Times New Roman"/>
                <w:sz w:val="18"/>
              </w:rPr>
              <w:t>NNW</w:t>
            </w:r>
          </w:p>
        </w:tc>
        <w:tc>
          <w:tcPr>
            <w:tcW w:w="1867" w:type="dxa"/>
            <w:shd w:val="clear" w:color="auto" w:fill="auto"/>
            <w:vAlign w:val="center"/>
          </w:tcPr>
          <w:p w14:paraId="68762D13">
            <w:pPr>
              <w:spacing w:line="240" w:lineRule="auto"/>
              <w:jc w:val="center"/>
              <w:rPr>
                <w:rFonts w:ascii="Times New Roman"/>
                <w:sz w:val="18"/>
              </w:rPr>
            </w:pPr>
            <w:r>
              <w:rPr>
                <w:rFonts w:ascii="Times New Roman"/>
                <w:sz w:val="18"/>
              </w:rPr>
              <w:t>337.5</w:t>
            </w:r>
          </w:p>
        </w:tc>
        <w:tc>
          <w:tcPr>
            <w:tcW w:w="1867" w:type="dxa"/>
            <w:shd w:val="clear" w:color="auto" w:fill="auto"/>
            <w:vAlign w:val="center"/>
          </w:tcPr>
          <w:p w14:paraId="18AC2020">
            <w:pPr>
              <w:spacing w:line="240" w:lineRule="auto"/>
              <w:jc w:val="center"/>
              <w:rPr>
                <w:rFonts w:ascii="Times New Roman"/>
                <w:sz w:val="18"/>
              </w:rPr>
            </w:pPr>
            <w:r>
              <w:rPr>
                <w:rFonts w:ascii="Times New Roman"/>
                <w:sz w:val="18"/>
              </w:rPr>
              <w:t>326.26-348.75</w:t>
            </w:r>
          </w:p>
        </w:tc>
      </w:tr>
    </w:tbl>
    <w:p w14:paraId="6DD5A5F8">
      <w:pPr>
        <w:pStyle w:val="56"/>
        <w:ind w:firstLine="0" w:firstLineChars="0"/>
      </w:pPr>
      <w:r>
        <w:rPr>
          <w:rFonts w:hint="eastAsia" w:ascii="Times New Roman"/>
          <w:sz w:val="18"/>
        </w:rPr>
        <w:t>注：</w:t>
      </w:r>
      <w:r>
        <w:rPr>
          <w:rFonts w:ascii="Times New Roman"/>
          <w:sz w:val="18"/>
        </w:rPr>
        <w:t>风速小于或等于0.2 m/s</w:t>
      </w:r>
      <w:r>
        <w:rPr>
          <w:rFonts w:hint="eastAsia" w:ascii="Times New Roman"/>
          <w:sz w:val="18"/>
        </w:rPr>
        <w:t>按</w:t>
      </w:r>
      <w:r>
        <w:rPr>
          <w:rFonts w:ascii="Times New Roman"/>
          <w:sz w:val="18"/>
        </w:rPr>
        <w:t>静风处理，不计入</w:t>
      </w:r>
      <w:r>
        <w:rPr>
          <w:rFonts w:hint="eastAsia" w:ascii="Times New Roman"/>
          <w:sz w:val="18"/>
        </w:rPr>
        <w:t>十六风向</w:t>
      </w:r>
      <w:r>
        <w:rPr>
          <w:rFonts w:ascii="Times New Roman"/>
          <w:sz w:val="18"/>
        </w:rPr>
        <w:t>。</w:t>
      </w:r>
    </w:p>
    <w:p w14:paraId="33F8D328">
      <w:pPr>
        <w:pStyle w:val="94"/>
        <w:spacing w:before="156" w:after="156"/>
        <w:ind w:left="0"/>
      </w:pPr>
      <w:r>
        <w:rPr>
          <w:rFonts w:hint="eastAsia"/>
        </w:rPr>
        <w:t>逐月温室气体</w:t>
      </w:r>
      <w:r>
        <w:t>十六风向平均浓度</w:t>
      </w:r>
    </w:p>
    <w:p w14:paraId="342F774C">
      <w:pPr>
        <w:pStyle w:val="56"/>
        <w:ind w:firstLine="420"/>
      </w:pPr>
      <w:r>
        <w:rPr>
          <w:rFonts w:hint="eastAsia"/>
        </w:rPr>
        <w:t>基于</w:t>
      </w:r>
      <w:r>
        <w:rPr>
          <w:rFonts w:ascii="Times New Roman"/>
        </w:rPr>
        <w:t>4.3.1.2</w:t>
      </w:r>
      <w:r>
        <w:rPr>
          <w:rFonts w:hint="eastAsia"/>
        </w:rPr>
        <w:t>计算的逐月逐风向</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平均</w:t>
      </w:r>
      <w:r>
        <w:rPr>
          <w:rFonts w:hint="eastAsia"/>
        </w:rPr>
        <w:t>浓度</w:t>
      </w:r>
      <w:r>
        <w:t>，</w:t>
      </w:r>
      <w:r>
        <w:rPr>
          <w:rFonts w:hint="eastAsia"/>
        </w:rPr>
        <w:t>逐月</w:t>
      </w:r>
      <w:r>
        <w:t>计算</w:t>
      </w:r>
      <w:r>
        <w:rPr>
          <w:rFonts w:hint="eastAsia" w:ascii="Times New Roman"/>
        </w:rPr>
        <w:t>十六风向</w:t>
      </w:r>
      <w:r>
        <w:t>平均浓度</w:t>
      </w:r>
      <w:r>
        <w:rPr>
          <w:rFonts w:hint="eastAsia"/>
        </w:rPr>
        <w:t>，</w:t>
      </w:r>
      <w:r>
        <w:t>计算方法</w:t>
      </w:r>
      <w:r>
        <w:rPr>
          <w:rFonts w:hint="eastAsia"/>
        </w:rPr>
        <w:t>见</w:t>
      </w:r>
      <w:r>
        <w:t>式</w:t>
      </w:r>
      <w:r>
        <w:rPr>
          <w:rFonts w:ascii="Times New Roman"/>
        </w:rPr>
        <w:t>（2）</w:t>
      </w:r>
      <w:r>
        <w:rPr>
          <w:rFonts w:hint="eastAsia"/>
        </w:rPr>
        <w:t>：</w:t>
      </w:r>
    </w:p>
    <w:p w14:paraId="1C007AEC">
      <w:pPr>
        <w:pStyle w:val="113"/>
      </w:pPr>
      <w:r>
        <w:tab/>
      </w: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r>
              <m:rPr>
                <m:sty m:val="p"/>
              </m:rPr>
              <w:rPr>
                <w:rFonts w:hint="eastAsia" w:ascii="Cambria Math" w:hAnsi="Cambria Math"/>
              </w:rPr>
              <m:t>,</m:t>
            </m:r>
            <m:r>
              <m:rPr>
                <m:sty m:val="p"/>
              </m:rPr>
              <w:rPr>
                <w:rFonts w:ascii="Cambria Math" w:hAnsi="Cambria Math"/>
              </w:rPr>
              <m:t>1−16</m:t>
            </m:r>
            <m:ctrlPr>
              <w:rPr>
                <w:rFonts w:ascii="Cambria Math" w:hAnsi="Cambria Math"/>
              </w:rPr>
            </m:ctrlPr>
          </m:sub>
        </m:sSub>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i/>
                  </w:rPr>
                </m:ctrlPr>
              </m:naryPr>
              <m:sub>
                <m:r>
                  <m:rPr/>
                  <w:rPr>
                    <w:rFonts w:ascii="Cambria Math" w:hAnsi="Cambria Math"/>
                  </w:rPr>
                  <m:t>n=1</m:t>
                </m:r>
                <m:ctrlPr>
                  <w:rPr>
                    <w:rFonts w:ascii="Cambria Math" w:hAnsi="Cambria Math"/>
                    <w:i/>
                  </w:rPr>
                </m:ctrlPr>
              </m:sub>
              <m:sup>
                <m:r>
                  <m:rPr/>
                  <w:rPr>
                    <w:rFonts w:ascii="Cambria Math" w:hAnsi="Cambria Math"/>
                  </w:rPr>
                  <m:t>16</m:t>
                </m:r>
                <m:ctrlPr>
                  <w:rPr>
                    <w:rFonts w:ascii="Cambria Math" w:hAnsi="Cambria Math"/>
                    <w:i/>
                  </w:rPr>
                </m:ctrlPr>
              </m:sup>
              <m:e>
                <m:sSub>
                  <m:sSubPr>
                    <m:ctrlPr>
                      <w:rPr>
                        <w:rFonts w:ascii="Cambria Math" w:hAnsi="Cambria Math"/>
                        <w:i/>
                      </w:rPr>
                    </m:ctrlPr>
                  </m:sSubPr>
                  <m:e>
                    <m:bar>
                      <m:barPr>
                        <m:pos m:val="top"/>
                        <m:ctrlPr>
                          <w:rPr>
                            <w:rFonts w:ascii="Cambria Math" w:hAnsi="Cambria Math"/>
                            <w:i/>
                          </w:rPr>
                        </m:ctrlPr>
                      </m:barPr>
                      <m:e>
                        <m:r>
                          <m:rPr/>
                          <w:rPr>
                            <w:rFonts w:ascii="Cambria Math" w:hAnsi="Cambria Math"/>
                          </w:rPr>
                          <m:t>C</m:t>
                        </m:r>
                        <m:ctrlPr>
                          <w:rPr>
                            <w:rFonts w:ascii="Cambria Math" w:hAnsi="Cambria Math"/>
                            <w:i/>
                          </w:rPr>
                        </m:ctrlPr>
                      </m:e>
                    </m:bar>
                    <m:ctrlPr>
                      <w:rPr>
                        <w:rFonts w:ascii="Cambria Math" w:hAnsi="Cambria Math"/>
                        <w:i/>
                      </w:rPr>
                    </m:ctrlPr>
                  </m:e>
                  <m:sub>
                    <m:r>
                      <m:rPr/>
                      <w:rPr>
                        <w:rFonts w:ascii="Cambria Math" w:hAnsi="Cambria Math"/>
                      </w:rPr>
                      <m:t>m,n</m:t>
                    </m:r>
                    <m:ctrlPr>
                      <w:rPr>
                        <w:rFonts w:ascii="Cambria Math" w:hAnsi="Cambria Math"/>
                        <w:i/>
                      </w:rPr>
                    </m:ctrlPr>
                  </m:sub>
                </m:sSub>
                <m:ctrlPr>
                  <w:rPr>
                    <w:rFonts w:ascii="Cambria Math" w:hAnsi="Cambria Math"/>
                    <w:i/>
                  </w:rPr>
                </m:ctrlPr>
              </m:e>
            </m:nary>
            <m:ctrlPr>
              <w:rPr>
                <w:rFonts w:ascii="Cambria Math" w:hAnsi="Cambria Math"/>
              </w:rPr>
            </m:ctrlPr>
          </m:num>
          <m:den>
            <m:r>
              <m:rPr/>
              <w:rPr>
                <w:rFonts w:ascii="Cambria Math" w:hAnsi="Cambria Math"/>
              </w:rPr>
              <m:t>16</m:t>
            </m:r>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5978812E">
      <w:pPr>
        <w:pStyle w:val="55"/>
        <w:ind w:firstLine="420"/>
      </w:pPr>
      <w:r>
        <w:rPr>
          <w:rFonts w:hint="eastAsia"/>
        </w:rPr>
        <w:t>式中：</w:t>
      </w:r>
    </w:p>
    <w:p w14:paraId="7F00AC8E">
      <w:pPr>
        <w:pStyle w:val="56"/>
        <w:ind w:firstLine="420"/>
        <w:rPr>
          <w:iCs/>
        </w:rPr>
      </w:pP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m,1−16</m:t>
            </m:r>
            <m:ctrlPr>
              <w:rPr>
                <w:rFonts w:ascii="Cambria Math" w:hAnsi="Cambria Math"/>
              </w:rPr>
            </m:ctrlPr>
          </m:sub>
        </m:sSub>
      </m:oMath>
      <w:r>
        <w:rPr>
          <w:rFonts w:hint="eastAsia"/>
        </w:rPr>
        <w:t>——特定</w:t>
      </w:r>
      <w:r>
        <w:t>月份</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十六风向</w:t>
      </w:r>
      <w:r>
        <w:t>平均浓度</w:t>
      </w:r>
      <w:r>
        <w:rPr>
          <w:rFonts w:hint="eastAsia"/>
          <w:iCs/>
        </w:rPr>
        <w:t>。</w:t>
      </w:r>
    </w:p>
    <w:p w14:paraId="034678D7">
      <w:pPr>
        <w:pStyle w:val="94"/>
        <w:spacing w:before="156" w:after="156"/>
        <w:ind w:left="0"/>
      </w:pPr>
      <w:r>
        <w:rPr>
          <w:rFonts w:hint="eastAsia"/>
        </w:rPr>
        <w:t>逐月温室气体</w:t>
      </w:r>
      <w:r>
        <w:t>十六风向浓度</w:t>
      </w:r>
      <w:r>
        <w:rPr>
          <w:rFonts w:hint="eastAsia"/>
        </w:rPr>
        <w:t>标准差</w:t>
      </w:r>
    </w:p>
    <w:p w14:paraId="0C8DB7CE">
      <w:pPr>
        <w:pStyle w:val="56"/>
        <w:ind w:firstLine="420"/>
      </w:pPr>
      <w:r>
        <w:rPr>
          <w:rFonts w:hint="eastAsia"/>
        </w:rPr>
        <w:t>基于</w:t>
      </w:r>
      <w:r>
        <w:rPr>
          <w:rFonts w:ascii="Times New Roman"/>
        </w:rPr>
        <w:t>4.3.1.2</w:t>
      </w:r>
      <w:r>
        <w:rPr>
          <w:rFonts w:hint="eastAsia"/>
        </w:rPr>
        <w:t>计算的逐月逐风向</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平均</w:t>
      </w:r>
      <w:r>
        <w:rPr>
          <w:rFonts w:hint="eastAsia"/>
        </w:rPr>
        <w:t>浓度</w:t>
      </w:r>
      <w:r>
        <w:t>，</w:t>
      </w:r>
      <w:r>
        <w:rPr>
          <w:rFonts w:hint="eastAsia"/>
        </w:rPr>
        <w:t>逐月</w:t>
      </w:r>
      <w:r>
        <w:t>计算</w:t>
      </w:r>
      <w:r>
        <w:rPr>
          <w:rFonts w:hint="eastAsia" w:ascii="Times New Roman"/>
        </w:rPr>
        <w:t>十六风向浓度</w:t>
      </w:r>
      <w:r>
        <w:rPr>
          <w:rFonts w:hint="eastAsia"/>
        </w:rPr>
        <w:t>标准差，</w:t>
      </w:r>
      <w:r>
        <w:t>计算方法见</w:t>
      </w:r>
      <w:r>
        <w:rPr>
          <w:rFonts w:hint="eastAsia"/>
        </w:rPr>
        <w:t>式</w:t>
      </w:r>
      <w:r>
        <w:rPr>
          <w:rFonts w:ascii="Times New Roman"/>
        </w:rPr>
        <w:t>（3）</w:t>
      </w:r>
      <w:r>
        <w:rPr>
          <w:rFonts w:hint="eastAsia"/>
        </w:rPr>
        <w:t>：</w:t>
      </w:r>
    </w:p>
    <w:p w14:paraId="33D10D50">
      <w:pPr>
        <w:pStyle w:val="113"/>
      </w:pPr>
      <w:r>
        <w:tab/>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m,1−16</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f>
              <m:fPr>
                <m:ctrlPr>
                  <w:rPr>
                    <w:rFonts w:ascii="Cambria Math" w:hAnsi="Cambria Math"/>
                    <w:i/>
                  </w:rPr>
                </m:ctrlPr>
              </m:fPr>
              <m:num>
                <m:nary>
                  <m:naryPr>
                    <m:chr m:val="∑"/>
                    <m:limLoc m:val="subSup"/>
                    <m:ctrlPr>
                      <w:rPr>
                        <w:rFonts w:ascii="Cambria Math" w:hAnsi="Cambria Math"/>
                        <w:i/>
                      </w:rPr>
                    </m:ctrlPr>
                  </m:naryPr>
                  <m:sub>
                    <m:r>
                      <m:rPr/>
                      <w:rPr>
                        <w:rFonts w:ascii="Cambria Math" w:hAnsi="Cambria Math"/>
                      </w:rPr>
                      <m:t>n=1</m:t>
                    </m:r>
                    <m:ctrlPr>
                      <w:rPr>
                        <w:rFonts w:ascii="Cambria Math" w:hAnsi="Cambria Math"/>
                        <w:i/>
                      </w:rPr>
                    </m:ctrlPr>
                  </m:sub>
                  <m:sup>
                    <m:r>
                      <m:rPr/>
                      <w:rPr>
                        <w:rFonts w:ascii="Cambria Math" w:hAnsi="Cambria Math"/>
                      </w:rPr>
                      <m:t>16</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bar>
                                  <m:barPr>
                                    <m:pos m:val="top"/>
                                    <m:ctrlPr>
                                      <w:rPr>
                                        <w:rFonts w:ascii="Cambria Math" w:hAnsi="Cambria Math"/>
                                        <w:i/>
                                      </w:rPr>
                                    </m:ctrlPr>
                                  </m:barPr>
                                  <m:e>
                                    <m:r>
                                      <m:rPr/>
                                      <w:rPr>
                                        <w:rFonts w:ascii="Cambria Math" w:hAnsi="Cambria Math"/>
                                      </w:rPr>
                                      <m:t>C</m:t>
                                    </m:r>
                                    <m:ctrlPr>
                                      <w:rPr>
                                        <w:rFonts w:ascii="Cambria Math" w:hAnsi="Cambria Math"/>
                                        <w:i/>
                                      </w:rPr>
                                    </m:ctrlPr>
                                  </m:e>
                                </m:bar>
                                <m:ctrlPr>
                                  <w:rPr>
                                    <w:rFonts w:ascii="Cambria Math" w:hAnsi="Cambria Math"/>
                                    <w:i/>
                                  </w:rPr>
                                </m:ctrlPr>
                              </m:e>
                              <m:sub>
                                <m:r>
                                  <m:rPr/>
                                  <w:rPr>
                                    <w:rFonts w:ascii="Cambria Math" w:hAnsi="Cambria Math"/>
                                  </w:rPr>
                                  <m:t>m,n</m:t>
                                </m:r>
                                <m:ctrlPr>
                                  <w:rPr>
                                    <w:rFonts w:ascii="Cambria Math" w:hAnsi="Cambria Math"/>
                                    <w:i/>
                                  </w:rPr>
                                </m:ctrlPr>
                              </m:sub>
                            </m:sSub>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m,1−16</m:t>
                                </m:r>
                                <m:ctrlPr>
                                  <w:rPr>
                                    <w:rFonts w:ascii="Cambria Math" w:hAnsi="Cambria Math"/>
                                  </w:rPr>
                                </m:ctrlPr>
                              </m:sub>
                            </m:sSub>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num>
              <m:den>
                <m:r>
                  <m:rPr/>
                  <w:rPr>
                    <w:rFonts w:ascii="Cambria Math" w:hAnsi="Cambria Math"/>
                  </w:rPr>
                  <m:t>16</m:t>
                </m:r>
                <m:ctrlPr>
                  <w:rPr>
                    <w:rFonts w:ascii="Cambria Math" w:hAnsi="Cambria Math"/>
                    <w:i/>
                  </w:rPr>
                </m:ctrlPr>
              </m:den>
            </m:f>
            <m:ctrlPr>
              <w:rPr>
                <w:rFonts w:ascii="Cambria Math" w:hAnsi="Cambria Math"/>
              </w:rPr>
            </m:ctrlPr>
          </m:e>
        </m:rad>
      </m:oMath>
      <w:r>
        <w:rPr>
          <w:rFonts w:ascii="微软雅黑" w:hAnsi="微软雅黑" w:eastAsia="微软雅黑"/>
        </w:rPr>
        <w:tab/>
      </w:r>
      <w:r>
        <w:t>(</w:t>
      </w:r>
      <w:r>
        <w:fldChar w:fldCharType="begin"/>
      </w:r>
      <w:r>
        <w:instrText xml:space="preserve"> AUTONUM </w:instrText>
      </w:r>
      <w:r>
        <w:fldChar w:fldCharType="end"/>
      </w:r>
      <w:r>
        <w:t>)</w:t>
      </w:r>
    </w:p>
    <w:p w14:paraId="75F887BB">
      <w:pPr>
        <w:pStyle w:val="55"/>
        <w:ind w:firstLine="420"/>
      </w:pPr>
      <w:r>
        <w:rPr>
          <w:rFonts w:hint="eastAsia"/>
        </w:rPr>
        <w:t>式中：</w:t>
      </w:r>
    </w:p>
    <w:p w14:paraId="5A7C10AF">
      <w:pPr>
        <w:pStyle w:val="56"/>
        <w:ind w:firstLine="420"/>
        <w:rPr>
          <w:iCs/>
        </w:rPr>
      </w:pPr>
      <m:oMath>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m,1−16</m:t>
            </m:r>
            <m:ctrlPr>
              <w:rPr>
                <w:rFonts w:ascii="Cambria Math" w:hAnsi="Cambria Math"/>
                <w:kern w:val="2"/>
                <w:szCs w:val="21"/>
              </w:rPr>
            </m:ctrlPr>
          </m:sub>
        </m:sSub>
      </m:oMath>
      <w:r>
        <w:rPr>
          <w:rFonts w:hint="eastAsia"/>
        </w:rPr>
        <w:t>——特定</w:t>
      </w:r>
      <w:r>
        <w:t>月份</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十六风向</w:t>
      </w:r>
      <w:r>
        <w:rPr>
          <w:rFonts w:hint="eastAsia"/>
        </w:rPr>
        <w:t>浓度</w:t>
      </w:r>
      <w:r>
        <w:t>标准差</w:t>
      </w:r>
      <w:r>
        <w:rPr>
          <w:rFonts w:hint="eastAsia"/>
          <w:iCs/>
        </w:rPr>
        <w:t>。</w:t>
      </w:r>
    </w:p>
    <w:p w14:paraId="05548114">
      <w:pPr>
        <w:pStyle w:val="94"/>
        <w:spacing w:before="156" w:after="156"/>
        <w:ind w:left="0"/>
      </w:pPr>
      <w:r>
        <w:rPr>
          <w:rFonts w:hint="eastAsia"/>
        </w:rPr>
        <w:t>逐月</w:t>
      </w:r>
      <w:r>
        <w:t>温室气体平均浓度</w:t>
      </w:r>
    </w:p>
    <w:p w14:paraId="15E89FEE">
      <w:pPr>
        <w:pStyle w:val="56"/>
        <w:ind w:firstLine="420"/>
      </w:pPr>
      <w:r>
        <w:rPr>
          <w:rFonts w:hint="eastAsia"/>
        </w:rPr>
        <w:t>基于观测</w:t>
      </w:r>
      <w:r>
        <w:t>时段内</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浓度观测数据，</w:t>
      </w:r>
      <w:r>
        <w:rPr>
          <w:rFonts w:hint="eastAsia"/>
        </w:rPr>
        <w:t>逐月</w:t>
      </w:r>
      <w:r>
        <w:t>计算</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平均浓度</w:t>
      </w:r>
      <w:r>
        <w:rPr>
          <w:rFonts w:hint="eastAsia"/>
        </w:rPr>
        <w:t>，</w:t>
      </w:r>
      <w:r>
        <w:t>计算方法</w:t>
      </w:r>
      <w:r>
        <w:rPr>
          <w:rFonts w:hint="eastAsia"/>
        </w:rPr>
        <w:t>见</w:t>
      </w:r>
      <w:r>
        <w:t>式</w:t>
      </w:r>
      <w:r>
        <w:rPr>
          <w:rFonts w:ascii="Times New Roman"/>
        </w:rPr>
        <w:t>（4）</w:t>
      </w:r>
      <w:r>
        <w:rPr>
          <w:rFonts w:hint="eastAsia"/>
        </w:rPr>
        <w:t>：</w:t>
      </w:r>
    </w:p>
    <w:p w14:paraId="184C21C3">
      <w:pPr>
        <w:pStyle w:val="113"/>
      </w:pPr>
      <w:r>
        <w:tab/>
      </w: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sup>
              <m:e>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m</m:t>
                    </m:r>
                    <m:ctrlPr>
                      <w:rPr>
                        <w:rFonts w:ascii="Cambria Math" w:hAnsi="Cambria Math"/>
                        <w:i/>
                      </w:rPr>
                    </m:ctrlPr>
                  </m:sub>
                  <m:sup>
                    <m:r>
                      <m:rPr/>
                      <w:rPr>
                        <w:rFonts w:ascii="Cambria Math" w:hAnsi="Cambria Math"/>
                      </w:rPr>
                      <m:t>i</m:t>
                    </m:r>
                    <m:ctrlPr>
                      <w:rPr>
                        <w:rFonts w:ascii="Cambria Math" w:hAnsi="Cambria Math"/>
                        <w:i/>
                      </w:rPr>
                    </m:ctrlPr>
                  </m:sup>
                </m:sSubSup>
                <m:ctrlPr>
                  <w:rPr>
                    <w:rFonts w:ascii="Cambria Math" w:hAnsi="Cambria Math"/>
                    <w:i/>
                  </w:rPr>
                </m:ctrlPr>
              </m:e>
            </m:nary>
            <m:ctrlPr>
              <w:rPr>
                <w:rFonts w:ascii="Cambria Math" w:hAnsi="Cambria Math"/>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3BB80770">
      <w:pPr>
        <w:pStyle w:val="55"/>
        <w:ind w:firstLine="420"/>
      </w:pPr>
      <w:r>
        <w:rPr>
          <w:rFonts w:hint="eastAsia"/>
        </w:rPr>
        <w:t>式中：</w:t>
      </w:r>
    </w:p>
    <w:p w14:paraId="1E02261C">
      <w:pPr>
        <w:pStyle w:val="56"/>
        <w:ind w:firstLine="420"/>
        <w:rPr>
          <w:iCs/>
        </w:rPr>
      </w:pP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ctrlPr>
              <w:rPr>
                <w:rFonts w:ascii="Cambria Math" w:hAnsi="Cambria Math"/>
              </w:rPr>
            </m:ctrlPr>
          </m:sub>
        </m:sSub>
      </m:oMath>
      <w:r>
        <w:rPr>
          <w:rFonts w:hint="eastAsia"/>
        </w:rPr>
        <w:t>——特定</w:t>
      </w:r>
      <w:r>
        <w:t>月份</w:t>
      </w:r>
      <w:r>
        <w:rPr>
          <w:rFonts w:hint="eastAsia"/>
        </w:rPr>
        <w:t>参与</w:t>
      </w:r>
      <w:r>
        <w:t>统计的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平均浓度</w:t>
      </w:r>
      <w:r>
        <w:rPr>
          <w:rFonts w:hint="eastAsia"/>
          <w:iCs/>
        </w:rPr>
        <w:t>；</w:t>
      </w:r>
    </w:p>
    <w:p w14:paraId="3627B73E">
      <w:pPr>
        <w:pStyle w:val="56"/>
        <w:ind w:firstLine="199" w:firstLineChars="95"/>
        <w:rPr>
          <w:iCs/>
        </w:rPr>
      </w:pPr>
      <m:oMath>
        <m:r>
          <m:rPr>
            <m:sty m:val="p"/>
          </m:rPr>
          <w:rPr>
            <w:rFonts w:ascii="Cambria Math" w:hAnsi="Cambria Math"/>
            <w:kern w:val="2"/>
            <w:szCs w:val="21"/>
          </w:rPr>
          <m:t xml:space="preserve">  </m:t>
        </m:r>
        <m:sSubSup>
          <m:sSubSupPr>
            <m:ctrlPr>
              <w:rPr>
                <w:rFonts w:ascii="Cambria Math" w:hAnsi="Cambria Math"/>
              </w:rPr>
            </m:ctrlPr>
          </m:sSubSupPr>
          <m:e>
            <m:r>
              <m:rPr/>
              <w:rPr>
                <w:rFonts w:ascii="Cambria Math" w:hAnsi="Cambria Math"/>
              </w:rPr>
              <m:t>C</m:t>
            </m:r>
            <m:ctrlPr>
              <w:rPr>
                <w:rFonts w:ascii="Cambria Math" w:hAnsi="Cambria Math"/>
              </w:rPr>
            </m:ctrlPr>
          </m:e>
          <m:sub>
            <m:r>
              <m:rPr/>
              <w:rPr>
                <w:rFonts w:ascii="Cambria Math" w:hAnsi="Cambria Math"/>
              </w:rPr>
              <m:t>m</m:t>
            </m:r>
            <m:ctrlPr>
              <w:rPr>
                <w:rFonts w:ascii="Cambria Math" w:hAnsi="Cambria Math"/>
              </w:rPr>
            </m:ctrlPr>
          </m:sub>
          <m:sup>
            <m:r>
              <m:rPr/>
              <w:rPr>
                <w:rFonts w:ascii="Cambria Math" w:hAnsi="Cambria Math"/>
              </w:rPr>
              <m:t>i</m:t>
            </m:r>
            <m:ctrlPr>
              <w:rPr>
                <w:rFonts w:ascii="Cambria Math" w:hAnsi="Cambria Math"/>
              </w:rPr>
            </m:ctrlPr>
          </m:sup>
        </m:sSubSup>
      </m:oMath>
      <w:r>
        <w:rPr>
          <w:rFonts w:hint="eastAsia"/>
          <w:kern w:val="2"/>
          <w:szCs w:val="21"/>
        </w:rPr>
        <w:t>——特定</w:t>
      </w:r>
      <w:r>
        <w:rPr>
          <w:kern w:val="2"/>
          <w:szCs w:val="21"/>
        </w:rPr>
        <w:t>月份</w:t>
      </w:r>
      <w:r>
        <w:rPr>
          <w:rFonts w:hint="eastAsia"/>
        </w:rPr>
        <w:t>参与</w:t>
      </w:r>
      <w:r>
        <w:t>统计的</w:t>
      </w:r>
      <w:r>
        <w:rPr>
          <w:rFonts w:hint="eastAsia"/>
          <w:kern w:val="2"/>
          <w:szCs w:val="21"/>
        </w:rPr>
        <w:t>逐时</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kern w:val="2"/>
          <w:szCs w:val="21"/>
        </w:rPr>
        <w:t>浓度</w:t>
      </w:r>
      <w:r>
        <w:rPr>
          <w:rFonts w:hint="eastAsia"/>
          <w:iCs/>
        </w:rPr>
        <w:t>；</w:t>
      </w:r>
    </w:p>
    <w:p w14:paraId="3D9CF2E1">
      <w:pPr>
        <w:pStyle w:val="56"/>
        <w:ind w:firstLine="409" w:firstLineChars="195"/>
        <w:rPr>
          <w:kern w:val="2"/>
          <w:szCs w:val="21"/>
        </w:rPr>
      </w:pPr>
      <m:oMath>
        <m:sSub>
          <m:sSubPr>
            <m:ctrlPr>
              <w:rPr>
                <w:rFonts w:ascii="Cambria Math" w:hAnsi="Cambria Math"/>
                <w:i/>
                <w:kern w:val="2"/>
                <w:szCs w:val="21"/>
              </w:rPr>
            </m:ctrlPr>
          </m:sSubPr>
          <m:e>
            <m:r>
              <m:rPr/>
              <w:rPr>
                <w:rFonts w:ascii="Cambria Math" w:hAnsi="Cambria Math"/>
              </w:rPr>
              <m:t>N</m:t>
            </m:r>
            <m:ctrlPr>
              <w:rPr>
                <w:rFonts w:ascii="Cambria Math" w:hAnsi="Cambria Math"/>
                <w:i/>
                <w:kern w:val="2"/>
                <w:szCs w:val="21"/>
              </w:rPr>
            </m:ctrlPr>
          </m:e>
          <m:sub>
            <m:r>
              <m:rPr/>
              <w:rPr>
                <w:rFonts w:ascii="Cambria Math" w:hAnsi="Cambria Math"/>
              </w:rPr>
              <m:t>m</m:t>
            </m:r>
            <m:ctrlPr>
              <w:rPr>
                <w:rFonts w:ascii="Cambria Math" w:hAnsi="Cambria Math"/>
                <w:i/>
                <w:kern w:val="2"/>
                <w:szCs w:val="21"/>
              </w:rPr>
            </m:ctrlPr>
          </m:sub>
        </m:sSub>
      </m:oMath>
      <w:r>
        <w:rPr>
          <w:rFonts w:hint="eastAsia"/>
        </w:rPr>
        <w:t>——</w:t>
      </w:r>
      <w:r>
        <w:rPr>
          <w:rFonts w:hint="eastAsia"/>
          <w:kern w:val="2"/>
          <w:szCs w:val="21"/>
        </w:rPr>
        <w:t>特定月份</w:t>
      </w:r>
      <w:r>
        <w:rPr>
          <w:rFonts w:hint="eastAsia"/>
        </w:rPr>
        <w:t>参与</w:t>
      </w:r>
      <w:r>
        <w:t>统计的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观测</w:t>
      </w:r>
      <w:r>
        <w:t>数</w:t>
      </w:r>
      <w:r>
        <w:rPr>
          <w:rFonts w:hint="eastAsia"/>
        </w:rPr>
        <w:t>。</w:t>
      </w:r>
    </w:p>
    <w:p w14:paraId="76A503B1">
      <w:pPr>
        <w:pStyle w:val="94"/>
        <w:spacing w:before="156" w:after="156"/>
        <w:ind w:left="0"/>
      </w:pPr>
      <w:r>
        <w:rPr>
          <w:rFonts w:hint="eastAsia"/>
        </w:rPr>
        <w:t>逐月温室气体浓度</w:t>
      </w:r>
      <w:r>
        <w:t>标准差</w:t>
      </w:r>
    </w:p>
    <w:p w14:paraId="338B932A">
      <w:pPr>
        <w:pStyle w:val="56"/>
        <w:ind w:firstLine="420"/>
      </w:pPr>
      <w:r>
        <w:rPr>
          <w:rFonts w:hint="eastAsia"/>
        </w:rPr>
        <w:t>基于观测</w:t>
      </w:r>
      <w:r>
        <w:t>时段内</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浓度观测数据，</w:t>
      </w:r>
      <w:r>
        <w:rPr>
          <w:rFonts w:hint="eastAsia"/>
        </w:rPr>
        <w:t>逐月</w:t>
      </w:r>
      <w:r>
        <w:t>计算</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w:t>
      </w:r>
      <w:r>
        <w:rPr>
          <w:rFonts w:hint="eastAsia"/>
        </w:rPr>
        <w:t>标准差，</w:t>
      </w:r>
      <w:r>
        <w:t>计算方法见</w:t>
      </w:r>
      <w:r>
        <w:rPr>
          <w:rFonts w:hint="eastAsia"/>
        </w:rPr>
        <w:t>式</w:t>
      </w:r>
      <w:r>
        <w:rPr>
          <w:rFonts w:ascii="Times New Roman"/>
        </w:rPr>
        <w:t>（5）</w:t>
      </w:r>
      <w:r>
        <w:rPr>
          <w:rFonts w:hint="eastAsia"/>
        </w:rPr>
        <w:t>：</w:t>
      </w:r>
    </w:p>
    <w:p w14:paraId="0C998176">
      <w:pPr>
        <w:pStyle w:val="113"/>
      </w:pPr>
      <w:r>
        <w:tab/>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f>
              <m:fPr>
                <m:ctrlPr>
                  <w:rPr>
                    <w:rFonts w:ascii="Cambria Math" w:hAnsi="Cambria Math"/>
                    <w:i/>
                  </w:rPr>
                </m:ctrlPr>
              </m:fPr>
              <m:num>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w:rPr>
                                    <w:rFonts w:ascii="Cambria Math" w:hAnsi="Cambria Math"/>
                                  </w:rPr>
                                  <m:t>C</m:t>
                                </m:r>
                                <m:ctrlPr>
                                  <w:rPr>
                                    <w:rFonts w:ascii="Cambria Math" w:hAnsi="Cambria Math"/>
                                    <w:i/>
                                  </w:rPr>
                                </m:ctrlPr>
                              </m:e>
                              <m:sub>
                                <m:r>
                                  <m:rPr/>
                                  <w:rPr>
                                    <w:rFonts w:ascii="Cambria Math" w:hAnsi="Cambria Math"/>
                                  </w:rPr>
                                  <m:t>m</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ctrlPr>
                                  <w:rPr>
                                    <w:rFonts w:ascii="Cambria Math" w:hAnsi="Cambria Math"/>
                                  </w:rPr>
                                </m:ctrlPr>
                              </m:sub>
                            </m:sSub>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m</m:t>
                    </m:r>
                    <m:ctrlPr>
                      <w:rPr>
                        <w:rFonts w:ascii="Cambria Math" w:hAnsi="Cambria Math"/>
                        <w:i/>
                      </w:rPr>
                    </m:ctrlPr>
                  </m:sub>
                </m:sSub>
                <m:ctrlPr>
                  <w:rPr>
                    <w:rFonts w:ascii="Cambria Math" w:hAnsi="Cambria Math"/>
                    <w:i/>
                  </w:rPr>
                </m:ctrlPr>
              </m:den>
            </m:f>
            <m:ctrlPr>
              <w:rPr>
                <w:rFonts w:ascii="Cambria Math" w:hAnsi="Cambria Math"/>
              </w:rPr>
            </m:ctrlPr>
          </m:e>
        </m:rad>
      </m:oMath>
      <w:r>
        <w:rPr>
          <w:rFonts w:ascii="微软雅黑" w:hAnsi="微软雅黑" w:eastAsia="微软雅黑"/>
        </w:rPr>
        <w:tab/>
      </w:r>
      <w:r>
        <w:t>(</w:t>
      </w:r>
      <w:r>
        <w:fldChar w:fldCharType="begin"/>
      </w:r>
      <w:r>
        <w:instrText xml:space="preserve"> AUTONUM </w:instrText>
      </w:r>
      <w:r>
        <w:fldChar w:fldCharType="end"/>
      </w:r>
      <w:r>
        <w:t>)</w:t>
      </w:r>
    </w:p>
    <w:p w14:paraId="78083F1D">
      <w:pPr>
        <w:pStyle w:val="55"/>
        <w:ind w:firstLine="420"/>
      </w:pPr>
      <w:r>
        <w:rPr>
          <w:rFonts w:hint="eastAsia"/>
        </w:rPr>
        <w:t>式中：</w:t>
      </w:r>
    </w:p>
    <w:p w14:paraId="6F6A4507">
      <w:pPr>
        <w:pStyle w:val="56"/>
        <w:ind w:firstLine="420"/>
        <w:rPr>
          <w:iCs/>
        </w:rPr>
      </w:pPr>
      <m:oMath>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m:t>
            </m:r>
            <m:ctrlPr>
              <w:rPr>
                <w:rFonts w:ascii="Cambria Math" w:hAnsi="Cambria Math"/>
                <w:kern w:val="2"/>
                <w:szCs w:val="21"/>
              </w:rPr>
            </m:ctrlPr>
          </m:sub>
        </m:sSub>
      </m:oMath>
      <w:r>
        <w:rPr>
          <w:rFonts w:hint="eastAsia"/>
        </w:rPr>
        <w:t>——特定</w:t>
      </w:r>
      <w:r>
        <w:t>月份</w:t>
      </w:r>
      <w:r>
        <w:rPr>
          <w:rFonts w:hint="eastAsia"/>
        </w:rPr>
        <w:t>参与</w:t>
      </w:r>
      <w:r>
        <w:t>统计的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浓度</w:t>
      </w:r>
      <w:r>
        <w:t>标准差</w:t>
      </w:r>
      <w:r>
        <w:rPr>
          <w:rFonts w:hint="eastAsia"/>
          <w:iCs/>
        </w:rPr>
        <w:t>。</w:t>
      </w:r>
    </w:p>
    <w:p w14:paraId="21F33133">
      <w:pPr>
        <w:pStyle w:val="65"/>
        <w:spacing w:before="156" w:after="156"/>
        <w:ind w:left="0"/>
      </w:pPr>
      <w:r>
        <w:rPr>
          <w:rFonts w:hint="eastAsia"/>
        </w:rPr>
        <w:t>大气</w:t>
      </w:r>
      <w:r>
        <w:t>稳定度</w:t>
      </w:r>
    </w:p>
    <w:p w14:paraId="09B32B00">
      <w:pPr>
        <w:pStyle w:val="94"/>
        <w:spacing w:before="156" w:after="156"/>
        <w:ind w:left="0"/>
      </w:pPr>
      <w:r>
        <w:rPr>
          <w:rFonts w:hint="eastAsia"/>
        </w:rPr>
        <w:t>梯度理查森数</w:t>
      </w:r>
    </w:p>
    <w:p w14:paraId="39855EB1">
      <w:pPr>
        <w:pStyle w:val="56"/>
        <w:ind w:firstLine="420"/>
      </w:pPr>
      <w:r>
        <w:rPr>
          <w:rFonts w:hint="eastAsia"/>
        </w:rPr>
        <w:t>利用地面和大气边界层</w:t>
      </w:r>
      <w:r>
        <w:t>以内</w:t>
      </w:r>
      <w:r>
        <w:rPr>
          <w:rFonts w:hint="eastAsia"/>
        </w:rPr>
        <w:t>气温</w:t>
      </w:r>
      <w:r>
        <w:t>、</w:t>
      </w:r>
      <w:r>
        <w:rPr>
          <w:rFonts w:hint="eastAsia"/>
        </w:rPr>
        <w:t>气压</w:t>
      </w:r>
      <w:r>
        <w:t>、</w:t>
      </w:r>
      <w:r>
        <w:rPr>
          <w:rFonts w:hint="eastAsia"/>
        </w:rPr>
        <w:t>风速、</w:t>
      </w:r>
      <w:r>
        <w:t>风向计算</w:t>
      </w:r>
      <w:r>
        <w:rPr>
          <w:rFonts w:hint="eastAsia"/>
        </w:rPr>
        <w:t>各时刻梯度</w:t>
      </w:r>
      <w:r>
        <w:t>理查</w:t>
      </w:r>
      <w:r>
        <w:rPr>
          <w:rFonts w:hint="eastAsia"/>
        </w:rPr>
        <w:t>森</w:t>
      </w:r>
      <w:r>
        <w:t>数</w:t>
      </w:r>
      <m:oMath>
        <m:r>
          <m:rPr/>
          <w:rPr>
            <w:rFonts w:ascii="Cambria Math" w:hAnsi="Cambria Math"/>
          </w:rPr>
          <m:t>Ri</m:t>
        </m:r>
      </m:oMath>
      <w:r>
        <w:rPr>
          <w:rFonts w:hint="eastAsia"/>
        </w:rPr>
        <w:t>，并</w:t>
      </w:r>
      <w:r>
        <w:rPr>
          <w:rFonts w:ascii="Times New Roman"/>
        </w:rPr>
        <w:t>根据表2对大气稳定度进行</w:t>
      </w:r>
      <w:r>
        <w:rPr>
          <w:rFonts w:hint="eastAsia" w:ascii="Times New Roman"/>
        </w:rPr>
        <w:t>等级</w:t>
      </w:r>
      <w:r>
        <w:rPr>
          <w:rFonts w:ascii="Times New Roman"/>
        </w:rPr>
        <w:t>划分</w:t>
      </w:r>
      <w:r>
        <w:rPr>
          <w:rFonts w:hint="eastAsia" w:ascii="Times New Roman"/>
        </w:rPr>
        <w:t>，</w:t>
      </w:r>
      <w:r>
        <w:rPr>
          <w:rFonts w:ascii="Times New Roman"/>
        </w:rPr>
        <w:t>A、B、C、D、E和F</w:t>
      </w:r>
      <w:r>
        <w:rPr>
          <w:rFonts w:hint="eastAsia" w:ascii="Times New Roman"/>
        </w:rPr>
        <w:t>分别</w:t>
      </w:r>
      <w:r>
        <w:rPr>
          <w:rFonts w:ascii="Times New Roman"/>
        </w:rPr>
        <w:t>表示</w:t>
      </w:r>
      <w:r>
        <w:t>强不稳定、不稳定、弱不稳定、中性、较稳定和稳定</w:t>
      </w:r>
      <w:r>
        <w:rPr>
          <w:rFonts w:hint="eastAsia" w:ascii="Times New Roman"/>
        </w:rPr>
        <w:t>。</w:t>
      </w:r>
      <w:r>
        <w:rPr>
          <w:rFonts w:ascii="Times New Roman"/>
        </w:rPr>
        <w:t>梯度理查森数</w:t>
      </w:r>
      <w:r>
        <w:t>计算</w:t>
      </w:r>
      <w:r>
        <w:rPr>
          <w:rFonts w:hint="eastAsia"/>
        </w:rPr>
        <w:t>方法</w:t>
      </w:r>
      <w:r>
        <w:t>见</w:t>
      </w:r>
      <w:r>
        <w:rPr>
          <w:rFonts w:hint="eastAsia"/>
        </w:rPr>
        <w:t>式</w:t>
      </w:r>
      <w:r>
        <w:rPr>
          <w:rFonts w:ascii="Times New Roman"/>
        </w:rPr>
        <w:t>（6）</w:t>
      </w:r>
      <w:r>
        <w:rPr>
          <w:rFonts w:hint="eastAsia" w:ascii="Times New Roman"/>
        </w:rPr>
        <w:t>和式</w:t>
      </w:r>
      <w:r>
        <w:rPr>
          <w:rFonts w:ascii="Times New Roman"/>
        </w:rPr>
        <w:t>（7）</w:t>
      </w:r>
      <w:r>
        <w:t>：</w:t>
      </w:r>
    </w:p>
    <w:p w14:paraId="4C8E6EE9">
      <w:pPr>
        <w:pStyle w:val="113"/>
      </w:pPr>
      <w:r>
        <w:tab/>
      </w:r>
      <m:oMath>
        <m:r>
          <m:rPr/>
          <w:rPr>
            <w:rFonts w:ascii="Cambria Math" w:hAnsi="Cambria Math"/>
          </w:rPr>
          <m:t>Ri</m:t>
        </m:r>
        <m:r>
          <m:rPr>
            <m:sty m:val="p"/>
          </m:rPr>
          <w:rPr>
            <w:rFonts w:ascii="Cambria Math" w:hAnsi="Cambria Math"/>
          </w:rPr>
          <m:t>=</m:t>
        </m:r>
        <m:f>
          <m:fPr>
            <m:ctrlPr>
              <w:rPr>
                <w:rFonts w:ascii="Cambria Math" w:hAnsi="Cambria Math"/>
              </w:rPr>
            </m:ctrlPr>
          </m:fPr>
          <m:num>
            <m:r>
              <m:rPr/>
              <w:rPr>
                <w:rFonts w:ascii="Cambria Math" w:hAnsi="Cambria Math"/>
              </w:rPr>
              <m:t>g∙</m:t>
            </m:r>
            <m:rad>
              <m:radPr>
                <m:degHide m:val="1"/>
                <m:ctrlPr>
                  <w:rPr>
                    <w:rFonts w:ascii="Cambria Math" w:hAnsi="Cambria Math"/>
                    <w:i/>
                  </w:rPr>
                </m:ctrlPr>
              </m:radPr>
              <m:deg>
                <m:ctrlPr>
                  <w:rPr>
                    <w:rFonts w:ascii="Cambria Math" w:hAnsi="Cambria Math"/>
                    <w:i/>
                  </w:rPr>
                </m:ctrlPr>
              </m:deg>
              <m:e>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1</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2</m:t>
                    </m:r>
                    <m:ctrlPr>
                      <w:rPr>
                        <w:rFonts w:ascii="Cambria Math" w:hAnsi="Cambria Math"/>
                      </w:rPr>
                    </m:ctrlPr>
                  </m:sub>
                </m:sSub>
                <m:ctrlPr>
                  <w:rPr>
                    <w:rFonts w:ascii="Cambria Math" w:hAnsi="Cambria Math"/>
                    <w:i/>
                  </w:rPr>
                </m:ctrlPr>
              </m:e>
            </m:rad>
            <m:ctrlPr>
              <w:rPr>
                <w:rFonts w:ascii="Cambria Math" w:hAnsi="Cambria Math"/>
              </w:rPr>
            </m:ctrlPr>
          </m:num>
          <m:den>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a</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2</m:t>
                </m:r>
                <m:ctrlPr>
                  <w:rPr>
                    <w:rFonts w:ascii="Cambria Math" w:hAnsi="Cambria Math"/>
                  </w:rPr>
                </m:ctrlPr>
              </m:sub>
            </m:sSub>
            <m:r>
              <m:rPr>
                <m:sty m:val="p"/>
              </m:rPr>
              <w:rPr>
                <w:rFonts w:hint="eastAsia" w:ascii="Cambria Math" w:hAnsi="Cambria Math" w:eastAsia="微软雅黑" w:cs="微软雅黑"/>
              </w:rPr>
              <m:t>−</m:t>
            </m:r>
            <m:sSub>
              <m:sSubPr>
                <m:ctrlPr>
                  <w:rPr>
                    <w:rFonts w:ascii="Cambria Math" w:hAnsi="Cambria Math"/>
                  </w:rPr>
                </m:ctrlPr>
              </m:sSubPr>
              <m:e>
                <m:r>
                  <m:rPr/>
                  <w:rPr>
                    <w:rFonts w:ascii="Cambria Math" w:hAnsi="Cambria Math"/>
                  </w:rPr>
                  <m:t>θ</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rPr>
                </m:ctrlPr>
              </m:fName>
              <m:e>
                <m:f>
                  <m:fPr>
                    <m:ctrlPr>
                      <w:rPr>
                        <w:rFonts w:ascii="Cambria Math" w:hAnsi="Cambria Math"/>
                        <w:i/>
                      </w:rPr>
                    </m:ctrlPr>
                  </m:fPr>
                  <m:num>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2</m:t>
                        </m:r>
                        <m:ctrlPr>
                          <w:rPr>
                            <w:rFonts w:ascii="Cambria Math" w:hAnsi="Cambria Math"/>
                          </w:rPr>
                        </m:ctrlPr>
                      </m:sub>
                    </m:sSub>
                    <m:ctrlPr>
                      <w:rPr>
                        <w:rFonts w:ascii="Cambria Math" w:hAnsi="Cambria Math"/>
                        <w:i/>
                      </w:rPr>
                    </m:ctrlPr>
                  </m:num>
                  <m:den>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i/>
                      </w:rPr>
                    </m:ctrlPr>
                  </m:den>
                </m:f>
                <m:ctrlPr>
                  <w:rPr>
                    <w:rFonts w:ascii="Cambria Math" w:hAnsi="Cambria Math"/>
                  </w:rPr>
                </m:ctrlPr>
              </m:e>
            </m:func>
            <m:ctrlPr>
              <w:rPr>
                <w:rFonts w:ascii="Cambria Math" w:hAnsi="Cambria Math"/>
              </w:rPr>
            </m:ctrlPr>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0F41CCD8">
      <w:pPr>
        <w:pStyle w:val="113"/>
      </w:pPr>
      <w:r>
        <w:tab/>
      </w:r>
      <m:oMath>
        <m:r>
          <m:rPr/>
          <w:rPr>
            <w:rFonts w:ascii="Cambria Math" w:hAnsi="Cambria Math"/>
          </w:rPr>
          <m:t>θ</m:t>
        </m:r>
        <m:r>
          <m:rPr>
            <m:sty m:val="p"/>
          </m:rPr>
          <w:rPr>
            <w:rFonts w:ascii="Cambria Math" w:hAnsi="Cambria Math"/>
          </w:rPr>
          <m:t>=</m:t>
        </m:r>
        <m:r>
          <m:rPr/>
          <w:rPr>
            <w:rFonts w:ascii="Cambria Math" w:hAnsi="Cambria Math"/>
          </w:rPr>
          <m:t>T</m:t>
        </m:r>
        <m:sSup>
          <m:sSupPr>
            <m:ctrlPr>
              <w:rPr>
                <w:rFonts w:ascii="Cambria Math" w:hAnsi="Cambria Math"/>
                <w:color w:val="000000" w:themeColor="text1"/>
                <w14:textFill>
                  <w14:solidFill>
                    <w14:schemeClr w14:val="tx1"/>
                  </w14:solidFill>
                </w14:textFill>
              </w:rPr>
            </m:ctrlPr>
          </m:sSupPr>
          <m:e>
            <m:r>
              <m:rPr>
                <m:sty m:val="p"/>
              </m:rPr>
              <w:rPr>
                <w:rFonts w:ascii="Cambria Math" w:hAnsi="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w:rPr>
                    <w:rFonts w:ascii="Cambria Math" w:hAnsi="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den>
            </m:f>
            <m:r>
              <m:rPr>
                <m:sty m:val="p"/>
              </m:rPr>
              <w:rPr>
                <w:rFonts w:ascii="Cambria Math" w:hAnsi="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e>
          <m:sup>
            <m:sSub>
              <m:sSubPr>
                <m:ctrlPr>
                  <w:rPr>
                    <w:rFonts w:ascii="Cambria Math" w:hAnsi="Cambria Math"/>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sup>
        </m:sSup>
      </m:oMath>
      <w:r>
        <w:rPr>
          <w:rFonts w:ascii="微软雅黑" w:hAnsi="微软雅黑" w:eastAsia="微软雅黑"/>
        </w:rPr>
        <w:tab/>
      </w:r>
      <w:r>
        <w:t>(</w:t>
      </w:r>
      <w:r>
        <w:fldChar w:fldCharType="begin"/>
      </w:r>
      <w:r>
        <w:instrText xml:space="preserve"> AUTONUM </w:instrText>
      </w:r>
      <w:r>
        <w:fldChar w:fldCharType="end"/>
      </w:r>
      <w:r>
        <w:t>)</w:t>
      </w:r>
    </w:p>
    <w:p w14:paraId="6A5C3908">
      <w:pPr>
        <w:pStyle w:val="56"/>
        <w:ind w:firstLine="420"/>
      </w:pPr>
      <w:r>
        <w:rPr>
          <w:rFonts w:hint="eastAsia"/>
        </w:rPr>
        <w:t>式中</w:t>
      </w:r>
      <w:r>
        <w:t>：</w:t>
      </w:r>
    </w:p>
    <w:p w14:paraId="6F04DB71">
      <w:pPr>
        <w:pStyle w:val="56"/>
        <w:ind w:firstLine="420"/>
        <w:rPr>
          <w:rFonts w:ascii="Times New Roman"/>
        </w:rPr>
      </w:pPr>
      <m:oMath>
        <m:r>
          <m:rPr/>
          <w:rPr>
            <w:rFonts w:hint="eastAsia" w:ascii="Cambria Math" w:hAnsi="Cambria Math"/>
          </w:rPr>
          <m:t>g</m:t>
        </m:r>
      </m:oMath>
      <w:r>
        <w:rPr>
          <w:rFonts w:hint="eastAsia"/>
        </w:rPr>
        <w:t>——</w:t>
      </w:r>
      <w:r>
        <w:rPr>
          <w:rFonts w:ascii="Times New Roman"/>
        </w:rPr>
        <w:t>重力加速度，取9.8 m/s</w:t>
      </w:r>
      <w:r>
        <w:rPr>
          <w:rFonts w:ascii="Times New Roman"/>
          <w:vertAlign w:val="superscript"/>
        </w:rPr>
        <w:t>2</w:t>
      </w:r>
      <w:r>
        <w:rPr>
          <w:rFonts w:ascii="Times New Roman"/>
        </w:rPr>
        <w:t>；</w:t>
      </w:r>
    </w:p>
    <w:p w14:paraId="286381B4">
      <w:pPr>
        <w:pStyle w:val="56"/>
        <w:ind w:firstLine="420"/>
        <w:rPr>
          <w:rFonts w:ascii="Times New Roman"/>
        </w:rPr>
      </w:pPr>
      <m:oMath>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1</m:t>
            </m:r>
            <m:ctrlPr>
              <w:rPr>
                <w:rFonts w:ascii="Cambria Math" w:hAnsi="Cambria Math"/>
              </w:rPr>
            </m:ctrlPr>
          </m:sub>
        </m:sSub>
      </m:oMath>
      <w:r>
        <w:rPr>
          <w:rFonts w:hint="eastAsia"/>
        </w:rPr>
        <w:t>——</w:t>
      </w:r>
      <w:r>
        <w:rPr>
          <w:rFonts w:hint="eastAsia" w:ascii="Times New Roman"/>
        </w:rPr>
        <w:t>低层</w:t>
      </w:r>
      <w:r>
        <w:rPr>
          <w:rFonts w:ascii="Times New Roman"/>
        </w:rPr>
        <w:t>观测高度（m）；</w:t>
      </w:r>
    </w:p>
    <w:p w14:paraId="7D4B32CD">
      <w:pPr>
        <w:pStyle w:val="56"/>
        <w:ind w:firstLine="420"/>
        <w:rPr>
          <w:rFonts w:ascii="Times New Roman"/>
        </w:rPr>
      </w:pPr>
      <m:oMath>
        <m:sSub>
          <m:sSubPr>
            <m:ctrlPr>
              <w:rPr>
                <w:rFonts w:ascii="Cambria Math" w:hAnsi="Cambria Math"/>
              </w:rPr>
            </m:ctrlPr>
          </m:sSubPr>
          <m:e>
            <m:r>
              <m:rPr/>
              <w:rPr>
                <w:rFonts w:ascii="Cambria Math" w:hAnsi="Cambria Math"/>
              </w:rPr>
              <m:t>Z</m:t>
            </m:r>
            <m:ctrlPr>
              <w:rPr>
                <w:rFonts w:ascii="Cambria Math" w:hAnsi="Cambria Math"/>
              </w:rPr>
            </m:ctrlPr>
          </m:e>
          <m:sub>
            <m:r>
              <m:rPr/>
              <w:rPr>
                <w:rFonts w:ascii="Cambria Math" w:hAnsi="Cambria Math"/>
              </w:rPr>
              <m:t>2</m:t>
            </m:r>
            <m:ctrlPr>
              <w:rPr>
                <w:rFonts w:ascii="Cambria Math" w:hAnsi="Cambria Math"/>
              </w:rPr>
            </m:ctrlPr>
          </m:sub>
        </m:sSub>
      </m:oMath>
      <w:r>
        <w:rPr>
          <w:rFonts w:hint="eastAsia"/>
        </w:rPr>
        <w:t>——高</w:t>
      </w:r>
      <w:r>
        <w:rPr>
          <w:rFonts w:hint="eastAsia" w:ascii="Times New Roman"/>
        </w:rPr>
        <w:t>层</w:t>
      </w:r>
      <w:r>
        <w:rPr>
          <w:rFonts w:ascii="Times New Roman"/>
        </w:rPr>
        <w:t>观测高度（m）；</w:t>
      </w:r>
    </w:p>
    <w:p w14:paraId="7C514E16">
      <w:pPr>
        <w:pStyle w:val="56"/>
        <w:ind w:firstLine="420"/>
        <w:rPr>
          <w:rFonts w:ascii="Times New Roman"/>
        </w:rPr>
      </w:pPr>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1</m:t>
            </m:r>
            <m:ctrlPr>
              <w:rPr>
                <w:rFonts w:ascii="Cambria Math" w:hAnsi="Cambria Math"/>
              </w:rPr>
            </m:ctrlPr>
          </m:sub>
        </m:sSub>
      </m:oMath>
      <w:r>
        <w:rPr>
          <w:rFonts w:hint="eastAsia"/>
        </w:rPr>
        <w:t>——</w:t>
      </w:r>
      <w:r>
        <w:rPr>
          <w:rFonts w:hint="eastAsia" w:ascii="Times New Roman"/>
        </w:rPr>
        <w:t>低层</w:t>
      </w:r>
      <w:r>
        <w:rPr>
          <w:rFonts w:ascii="Times New Roman"/>
        </w:rPr>
        <w:t>位温（K）；</w:t>
      </w:r>
    </w:p>
    <w:p w14:paraId="1CC7651E">
      <w:pPr>
        <w:pStyle w:val="56"/>
        <w:ind w:firstLine="420"/>
        <w:rPr>
          <w:rFonts w:ascii="Times New Roman"/>
        </w:rPr>
      </w:pPr>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2</m:t>
            </m:r>
            <m:ctrlPr>
              <w:rPr>
                <w:rFonts w:ascii="Cambria Math" w:hAnsi="Cambria Math"/>
              </w:rPr>
            </m:ctrlPr>
          </m:sub>
        </m:sSub>
      </m:oMath>
      <w:r>
        <w:rPr>
          <w:rFonts w:hint="eastAsia"/>
        </w:rPr>
        <w:t>——高</w:t>
      </w:r>
      <w:r>
        <w:rPr>
          <w:rFonts w:hint="eastAsia" w:ascii="Times New Roman"/>
        </w:rPr>
        <w:t>层</w:t>
      </w:r>
      <w:r>
        <w:rPr>
          <w:rFonts w:ascii="Times New Roman"/>
        </w:rPr>
        <w:t>位温（K）；</w:t>
      </w:r>
    </w:p>
    <w:p w14:paraId="4E802DA5">
      <w:pPr>
        <w:pStyle w:val="56"/>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1</m:t>
            </m:r>
            <m:ctrlPr>
              <w:rPr>
                <w:rFonts w:ascii="Cambria Math" w:hAnsi="Cambria Math"/>
              </w:rPr>
            </m:ctrlPr>
          </m:sub>
        </m:sSub>
      </m:oMath>
      <w:r>
        <w:rPr>
          <w:rFonts w:hint="eastAsia"/>
        </w:rPr>
        <w:t>——</w:t>
      </w:r>
      <w:r>
        <w:rPr>
          <w:rFonts w:hint="eastAsia" w:ascii="Times New Roman"/>
        </w:rPr>
        <w:t>低层</w:t>
      </w:r>
      <w:r>
        <w:rPr>
          <w:rFonts w:ascii="Times New Roman"/>
        </w:rPr>
        <w:t>风速（m/s）；</w:t>
      </w:r>
    </w:p>
    <w:p w14:paraId="143A351E">
      <w:pPr>
        <w:pStyle w:val="56"/>
        <w:ind w:firstLine="420"/>
        <w:rPr>
          <w:rFonts w:ascii="Times New Roman"/>
        </w:rPr>
      </w:pPr>
      <m:oMath>
        <m:sSub>
          <m:sSubPr>
            <m:ctrlPr>
              <w:rPr>
                <w:rFonts w:ascii="Cambria Math" w:hAnsi="Cambria Math"/>
              </w:rPr>
            </m:ctrlPr>
          </m:sSubPr>
          <m:e>
            <m:r>
              <m:rPr/>
              <w:rPr>
                <w:rFonts w:ascii="Cambria Math" w:hAnsi="Cambria Math"/>
              </w:rPr>
              <m:t>V</m:t>
            </m:r>
            <m:ctrlPr>
              <w:rPr>
                <w:rFonts w:ascii="Cambria Math" w:hAnsi="Cambria Math"/>
              </w:rPr>
            </m:ctrlPr>
          </m:e>
          <m:sub>
            <m:r>
              <m:rPr/>
              <w:rPr>
                <w:rFonts w:ascii="Cambria Math" w:hAnsi="Cambria Math"/>
              </w:rPr>
              <m:t>2</m:t>
            </m:r>
            <m:ctrlPr>
              <w:rPr>
                <w:rFonts w:ascii="Cambria Math" w:hAnsi="Cambria Math"/>
              </w:rPr>
            </m:ctrlPr>
          </m:sub>
        </m:sSub>
      </m:oMath>
      <w:r>
        <w:rPr>
          <w:rFonts w:hint="eastAsia"/>
        </w:rPr>
        <w:t>——</w:t>
      </w:r>
      <w:r>
        <w:rPr>
          <w:rFonts w:hint="eastAsia" w:ascii="Times New Roman"/>
        </w:rPr>
        <w:t>高层</w:t>
      </w:r>
      <w:r>
        <w:rPr>
          <w:rFonts w:ascii="Times New Roman"/>
        </w:rPr>
        <w:t>风速（m/s）；</w:t>
      </w:r>
    </w:p>
    <w:p w14:paraId="24BA1C6A">
      <w:pPr>
        <w:pStyle w:val="56"/>
        <w:ind w:firstLine="420"/>
        <w:rPr>
          <w:rFonts w:ascii="Times New Roman"/>
        </w:rPr>
      </w:pPr>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a</m:t>
            </m:r>
            <m:ctrlPr>
              <w:rPr>
                <w:rFonts w:ascii="Cambria Math" w:hAnsi="Cambria Math"/>
              </w:rPr>
            </m:ctrlPr>
          </m:sub>
        </m:sSub>
      </m:oMath>
      <w:r>
        <w:rPr>
          <w:rFonts w:hint="eastAsia"/>
        </w:rPr>
        <w:t>——</w:t>
      </w:r>
      <w:r>
        <w:rPr>
          <w:rFonts w:hint="eastAsia" w:ascii="Times New Roman"/>
        </w:rPr>
        <w:t>低层、</w:t>
      </w:r>
      <w:r>
        <w:rPr>
          <w:rFonts w:ascii="Times New Roman"/>
        </w:rPr>
        <w:t>高层</w:t>
      </w:r>
      <w:r>
        <w:rPr>
          <w:rFonts w:hint="eastAsia" w:ascii="Times New Roman"/>
        </w:rPr>
        <w:t>位温</w:t>
      </w:r>
      <w:r>
        <w:rPr>
          <w:rFonts w:ascii="Times New Roman"/>
        </w:rPr>
        <w:t>平均值（K）；</w:t>
      </w:r>
    </w:p>
    <w:p w14:paraId="3C023E23">
      <w:pPr>
        <w:pStyle w:val="56"/>
        <w:ind w:firstLine="420"/>
        <w:rPr>
          <w:rFonts w:ascii="Times New Roman"/>
        </w:rPr>
      </w:pPr>
      <m:oMath>
        <m:r>
          <m:rPr/>
          <w:rPr>
            <w:rFonts w:ascii="Cambria Math" w:hAnsi="Cambria Math"/>
          </w:rPr>
          <m:t>θ</m:t>
        </m:r>
      </m:oMath>
      <w:r>
        <w:rPr>
          <w:rFonts w:hint="eastAsia"/>
        </w:rPr>
        <w:t>——</w:t>
      </w:r>
      <w:r>
        <w:rPr>
          <w:rFonts w:ascii="Times New Roman"/>
        </w:rPr>
        <w:t>位温（K）</w:t>
      </w:r>
      <w:r>
        <w:rPr>
          <w:rFonts w:hint="eastAsia" w:ascii="Times New Roman"/>
        </w:rPr>
        <w:t>；</w:t>
      </w:r>
    </w:p>
    <w:p w14:paraId="3D169B55">
      <w:pPr>
        <w:pStyle w:val="56"/>
        <w:ind w:firstLine="304" w:firstLineChars="145"/>
        <w:rPr>
          <w:rFonts w:ascii="Times New Roman"/>
        </w:rPr>
      </w:pPr>
      <w:r>
        <w:rPr>
          <w:rFonts w:hint="eastAsia"/>
        </w:rPr>
        <w:t xml:space="preserve"> </w:t>
      </w:r>
      <m:oMath>
        <m:r>
          <m:rPr/>
          <w:rPr>
            <w:rFonts w:ascii="Cambria Math" w:hAnsi="Cambria Math"/>
          </w:rPr>
          <m:t>T</m:t>
        </m:r>
      </m:oMath>
      <w:r>
        <w:rPr>
          <w:rFonts w:hint="eastAsia"/>
        </w:rPr>
        <w:t>——</w:t>
      </w:r>
      <w:r>
        <w:rPr>
          <w:rFonts w:ascii="Times New Roman"/>
        </w:rPr>
        <w:t>气温（K）；</w:t>
      </w:r>
    </w:p>
    <w:p w14:paraId="5A2ECB20">
      <w:pPr>
        <w:pStyle w:val="56"/>
        <w:ind w:firstLine="420"/>
        <w:rPr>
          <w:rFonts w:ascii="Times New Roman"/>
        </w:rPr>
      </w:pPr>
      <m:oMath>
        <m:r>
          <m:rPr/>
          <w:rPr>
            <w:rFonts w:ascii="Cambria Math" w:hAnsi="Cambria Math"/>
          </w:rPr>
          <m:t>P</m:t>
        </m:r>
      </m:oMath>
      <w:r>
        <w:rPr>
          <w:rFonts w:hint="eastAsia"/>
        </w:rPr>
        <w:t>——</w:t>
      </w:r>
      <w:r>
        <w:rPr>
          <w:rFonts w:ascii="Times New Roman"/>
        </w:rPr>
        <w:t>气压（hPa）</w:t>
      </w:r>
      <w:r>
        <w:rPr>
          <w:rFonts w:hint="eastAsia" w:ascii="Times New Roman"/>
        </w:rPr>
        <w:t>；</w:t>
      </w:r>
    </w:p>
    <w:p w14:paraId="56D93C8C">
      <w:pPr>
        <w:pStyle w:val="56"/>
        <w:ind w:firstLine="420"/>
        <w:rPr>
          <w:rFonts w:ascii="Times New Roman"/>
        </w:rPr>
      </w:pPr>
      <m:oMath>
        <m:sSub>
          <m:sSubPr>
            <m:ctrlPr>
              <w:rPr>
                <w:rFonts w:ascii="Cambria Math" w:hAnsi="Cambria Math"/>
                <w:color w:val="000000" w:themeColor="text1"/>
                <w:kern w:val="2"/>
                <w:szCs w:val="21"/>
                <w14:textFill>
                  <w14:solidFill>
                    <w14:schemeClr w14:val="tx1"/>
                  </w14:solidFill>
                </w14:textFill>
              </w:rPr>
            </m:ctrlPr>
          </m:sSubPr>
          <m:e>
            <m:r>
              <m:rPr/>
              <w:rPr>
                <w:rFonts w:ascii="Cambria Math" w:hAnsi="Cambria Math"/>
                <w:color w:val="000000" w:themeColor="text1"/>
                <w14:textFill>
                  <w14:solidFill>
                    <w14:schemeClr w14:val="tx1"/>
                  </w14:solidFill>
                </w14:textFill>
              </w:rPr>
              <m:t>P</m:t>
            </m:r>
            <m:ctrlPr>
              <w:rPr>
                <w:rFonts w:ascii="Cambria Math" w:hAnsi="Cambria Math"/>
                <w:color w:val="000000" w:themeColor="text1"/>
                <w:kern w:val="2"/>
                <w:szCs w:val="21"/>
                <w14:textFill>
                  <w14:solidFill>
                    <w14:schemeClr w14:val="tx1"/>
                  </w14:solidFill>
                </w14:textFill>
              </w:rPr>
            </m:ctrlPr>
          </m:e>
          <m:sub>
            <m:r>
              <m:rPr/>
              <w:rPr>
                <w:rFonts w:ascii="Cambria Math" w:hAnsi="Cambria Math"/>
                <w:color w:val="000000" w:themeColor="text1"/>
                <w14:textFill>
                  <w14:solidFill>
                    <w14:schemeClr w14:val="tx1"/>
                  </w14:solidFill>
                </w14:textFill>
              </w:rPr>
              <m:t>0</m:t>
            </m:r>
            <m:ctrlPr>
              <w:rPr>
                <w:rFonts w:ascii="Cambria Math" w:hAnsi="Cambria Math"/>
                <w:color w:val="000000" w:themeColor="text1"/>
                <w:kern w:val="2"/>
                <w:szCs w:val="21"/>
                <w14:textFill>
                  <w14:solidFill>
                    <w14:schemeClr w14:val="tx1"/>
                  </w14:solidFill>
                </w14:textFill>
              </w:rPr>
            </m:ctrlPr>
          </m:sub>
        </m:sSub>
      </m:oMath>
      <w:r>
        <w:rPr>
          <w:rFonts w:hint="eastAsia"/>
        </w:rPr>
        <w:t>——标准气压</w:t>
      </w:r>
      <w:r>
        <w:t>，取</w:t>
      </w:r>
      <w:r>
        <w:rPr>
          <w:rFonts w:hint="eastAsia" w:ascii="Times New Roman"/>
        </w:rPr>
        <w:t>1000</w:t>
      </w:r>
      <w:r>
        <w:rPr>
          <w:rFonts w:ascii="Times New Roman"/>
        </w:rPr>
        <w:t xml:space="preserve"> hPa</w:t>
      </w:r>
      <w:r>
        <w:rPr>
          <w:rFonts w:hint="eastAsia" w:ascii="Times New Roman"/>
        </w:rPr>
        <w:t>；</w:t>
      </w:r>
    </w:p>
    <w:p w14:paraId="2751E4D2">
      <w:pPr>
        <w:pStyle w:val="56"/>
        <w:ind w:firstLine="420"/>
      </w:pPr>
      <m:oMath>
        <m:sSub>
          <m:sSubPr>
            <m:ctrlPr>
              <w:rPr>
                <w:rFonts w:ascii="Cambria Math" w:hAnsi="Cambria Math"/>
                <w:color w:val="000000" w:themeColor="text1"/>
                <w:kern w:val="2"/>
                <w:szCs w:val="21"/>
                <w14:textFill>
                  <w14:solidFill>
                    <w14:schemeClr w14:val="tx1"/>
                  </w14:solidFill>
                </w14:textFill>
              </w:rPr>
            </m:ctrlPr>
          </m:sSubPr>
          <m:e>
            <m:r>
              <m:rPr/>
              <w:rPr>
                <w:rFonts w:ascii="Cambria Math" w:hAnsi="Cambria Math"/>
                <w:color w:val="000000" w:themeColor="text1"/>
                <w14:textFill>
                  <w14:solidFill>
                    <w14:schemeClr w14:val="tx1"/>
                  </w14:solidFill>
                </w14:textFill>
              </w:rPr>
              <m:t>k</m:t>
            </m:r>
            <m:ctrlPr>
              <w:rPr>
                <w:rFonts w:ascii="Cambria Math" w:hAnsi="Cambria Math"/>
                <w:color w:val="000000" w:themeColor="text1"/>
                <w:kern w:val="2"/>
                <w:szCs w:val="21"/>
                <w14:textFill>
                  <w14:solidFill>
                    <w14:schemeClr w14:val="tx1"/>
                  </w14:solidFill>
                </w14:textFill>
              </w:rPr>
            </m:ctrlPr>
          </m:e>
          <m:sub>
            <m:r>
              <m:rPr/>
              <w:rPr>
                <w:rFonts w:ascii="Cambria Math" w:hAnsi="Cambria Math"/>
                <w:color w:val="000000" w:themeColor="text1"/>
                <w14:textFill>
                  <w14:solidFill>
                    <w14:schemeClr w14:val="tx1"/>
                  </w14:solidFill>
                </w14:textFill>
              </w:rPr>
              <m:t>d</m:t>
            </m:r>
            <m:ctrlPr>
              <w:rPr>
                <w:rFonts w:ascii="Cambria Math" w:hAnsi="Cambria Math"/>
                <w:color w:val="000000" w:themeColor="text1"/>
                <w:kern w:val="2"/>
                <w:szCs w:val="21"/>
                <w14:textFill>
                  <w14:solidFill>
                    <w14:schemeClr w14:val="tx1"/>
                  </w14:solidFill>
                </w14:textFill>
              </w:rPr>
            </m:ctrlPr>
          </m:sub>
        </m:sSub>
      </m:oMath>
      <w:r>
        <w:rPr>
          <w:rFonts w:hint="eastAsia"/>
          <w:color w:val="000000" w:themeColor="text1"/>
          <w:kern w:val="2"/>
          <w:szCs w:val="21"/>
          <w14:textFill>
            <w14:solidFill>
              <w14:schemeClr w14:val="tx1"/>
            </w14:solidFill>
          </w14:textFill>
        </w:rPr>
        <w:t>——常数</w:t>
      </w:r>
      <w:r>
        <w:rPr>
          <w:color w:val="000000" w:themeColor="text1"/>
          <w:kern w:val="2"/>
          <w:szCs w:val="21"/>
          <w14:textFill>
            <w14:solidFill>
              <w14:schemeClr w14:val="tx1"/>
            </w14:solidFill>
          </w14:textFill>
        </w:rPr>
        <w:t>，取</w:t>
      </w:r>
      <w:r>
        <w:rPr>
          <w:rFonts w:hint="eastAsia" w:ascii="Times New Roman"/>
        </w:rPr>
        <w:t>0.286</w:t>
      </w:r>
      <w:r>
        <w:t>。</w:t>
      </w:r>
    </w:p>
    <w:p w14:paraId="3113C97D">
      <w:pPr>
        <w:pStyle w:val="112"/>
        <w:spacing w:before="156" w:after="156"/>
      </w:pPr>
      <w:r>
        <w:rPr>
          <w:rFonts w:hint="eastAsia"/>
        </w:rPr>
        <w:t>基于梯度理查森数的</w:t>
      </w:r>
      <w:r>
        <w:t>大气稳定度</w:t>
      </w:r>
      <w:r>
        <w:rPr>
          <w:rFonts w:hint="eastAsia"/>
        </w:rPr>
        <w:t>等级</w:t>
      </w:r>
      <w:r>
        <w:t>划分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0"/>
        <w:gridCol w:w="6095"/>
      </w:tblGrid>
      <w:tr w14:paraId="28CFB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0" w:type="dxa"/>
            <w:tcBorders>
              <w:top w:val="single" w:color="auto" w:sz="8" w:space="0"/>
              <w:bottom w:val="single" w:color="auto" w:sz="8" w:space="0"/>
            </w:tcBorders>
            <w:shd w:val="clear" w:color="auto" w:fill="auto"/>
            <w:vAlign w:val="center"/>
          </w:tcPr>
          <w:p w14:paraId="5F259D78">
            <w:pPr>
              <w:spacing w:line="240" w:lineRule="auto"/>
              <w:jc w:val="center"/>
              <w:rPr>
                <w:rFonts w:ascii="Times New Roman"/>
                <w:sz w:val="18"/>
              </w:rPr>
            </w:pPr>
            <w:r>
              <w:rPr>
                <w:rFonts w:ascii="Times New Roman"/>
                <w:sz w:val="18"/>
              </w:rPr>
              <w:t>稳定度</w:t>
            </w:r>
            <w:r>
              <w:rPr>
                <w:rFonts w:hint="eastAsia" w:ascii="Times New Roman"/>
                <w:sz w:val="18"/>
              </w:rPr>
              <w:t>等级</w:t>
            </w:r>
          </w:p>
        </w:tc>
        <w:tc>
          <w:tcPr>
            <w:tcW w:w="6095" w:type="dxa"/>
            <w:tcBorders>
              <w:top w:val="single" w:color="auto" w:sz="8" w:space="0"/>
              <w:bottom w:val="single" w:color="auto" w:sz="8" w:space="0"/>
            </w:tcBorders>
            <w:shd w:val="clear" w:color="auto" w:fill="auto"/>
            <w:vAlign w:val="center"/>
          </w:tcPr>
          <w:p w14:paraId="4116F55C">
            <w:pPr>
              <w:spacing w:line="240" w:lineRule="auto"/>
              <w:jc w:val="center"/>
              <w:rPr>
                <w:rFonts w:ascii="Times New Roman"/>
                <w:sz w:val="18"/>
              </w:rPr>
            </w:pPr>
            <w:r>
              <w:rPr>
                <w:rFonts w:hint="eastAsia" w:ascii="Times New Roman"/>
                <w:i/>
                <w:sz w:val="18"/>
              </w:rPr>
              <w:t>R</w:t>
            </w:r>
            <w:r>
              <w:rPr>
                <w:rFonts w:ascii="Times New Roman"/>
                <w:i/>
                <w:sz w:val="18"/>
              </w:rPr>
              <w:t>i</w:t>
            </w:r>
            <w:r>
              <w:rPr>
                <w:rFonts w:ascii="Times New Roman"/>
                <w:sz w:val="18"/>
              </w:rPr>
              <w:t>范围</w:t>
            </w:r>
          </w:p>
        </w:tc>
      </w:tr>
      <w:tr w14:paraId="511FF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tcBorders>
              <w:top w:val="single" w:color="auto" w:sz="8" w:space="0"/>
            </w:tcBorders>
            <w:shd w:val="clear" w:color="auto" w:fill="auto"/>
            <w:vAlign w:val="center"/>
          </w:tcPr>
          <w:p w14:paraId="42FCB792">
            <w:pPr>
              <w:spacing w:line="240" w:lineRule="auto"/>
              <w:jc w:val="center"/>
              <w:rPr>
                <w:rFonts w:ascii="Times New Roman"/>
                <w:sz w:val="18"/>
              </w:rPr>
            </w:pPr>
            <w:r>
              <w:rPr>
                <w:rFonts w:ascii="Times New Roman"/>
                <w:sz w:val="18"/>
              </w:rPr>
              <w:t>A</w:t>
            </w:r>
          </w:p>
        </w:tc>
        <w:tc>
          <w:tcPr>
            <w:tcW w:w="6095" w:type="dxa"/>
            <w:tcBorders>
              <w:top w:val="single" w:color="auto" w:sz="8" w:space="0"/>
            </w:tcBorders>
            <w:shd w:val="clear" w:color="auto" w:fill="auto"/>
            <w:vAlign w:val="center"/>
          </w:tcPr>
          <w:p w14:paraId="741B29D0">
            <w:pPr>
              <w:spacing w:line="240" w:lineRule="auto"/>
              <w:jc w:val="center"/>
              <w:rPr>
                <w:rFonts w:ascii="Times New Roman"/>
                <w:sz w:val="18"/>
              </w:rPr>
            </w:pPr>
            <w:r>
              <w:rPr>
                <w:rFonts w:ascii="Times New Roman"/>
                <w:i/>
                <w:sz w:val="18"/>
              </w:rPr>
              <w:t>Ri</w:t>
            </w:r>
            <w:r>
              <w:rPr>
                <w:rFonts w:ascii="Times New Roman"/>
                <w:sz w:val="18"/>
              </w:rPr>
              <w:t>&lt;-3.433</w:t>
            </w:r>
          </w:p>
        </w:tc>
      </w:tr>
      <w:tr w14:paraId="64F7C9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shd w:val="clear" w:color="auto" w:fill="auto"/>
            <w:vAlign w:val="center"/>
          </w:tcPr>
          <w:p w14:paraId="538F5F36">
            <w:pPr>
              <w:spacing w:line="240" w:lineRule="auto"/>
              <w:jc w:val="center"/>
              <w:rPr>
                <w:rFonts w:ascii="Times New Roman"/>
                <w:sz w:val="18"/>
              </w:rPr>
            </w:pPr>
            <w:r>
              <w:rPr>
                <w:rFonts w:ascii="Times New Roman"/>
                <w:sz w:val="18"/>
              </w:rPr>
              <w:t>B</w:t>
            </w:r>
          </w:p>
        </w:tc>
        <w:tc>
          <w:tcPr>
            <w:tcW w:w="6095" w:type="dxa"/>
            <w:shd w:val="clear" w:color="auto" w:fill="auto"/>
            <w:vAlign w:val="center"/>
          </w:tcPr>
          <w:p w14:paraId="3E448038">
            <w:pPr>
              <w:spacing w:line="240" w:lineRule="auto"/>
              <w:jc w:val="center"/>
              <w:rPr>
                <w:rFonts w:ascii="Times New Roman"/>
                <w:sz w:val="18"/>
              </w:rPr>
            </w:pPr>
            <w:r>
              <w:rPr>
                <w:rFonts w:ascii="Times New Roman"/>
                <w:sz w:val="18"/>
              </w:rPr>
              <w:t>-3.433≤</w:t>
            </w:r>
            <w:r>
              <w:rPr>
                <w:rFonts w:ascii="Times New Roman"/>
                <w:i/>
                <w:sz w:val="18"/>
              </w:rPr>
              <w:t>Ri</w:t>
            </w:r>
            <w:r>
              <w:rPr>
                <w:rFonts w:ascii="Times New Roman"/>
                <w:sz w:val="18"/>
              </w:rPr>
              <w:t>&lt;-1.375</w:t>
            </w:r>
          </w:p>
        </w:tc>
      </w:tr>
      <w:tr w14:paraId="52D68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shd w:val="clear" w:color="auto" w:fill="auto"/>
            <w:vAlign w:val="center"/>
          </w:tcPr>
          <w:p w14:paraId="11084E93">
            <w:pPr>
              <w:spacing w:line="240" w:lineRule="auto"/>
              <w:jc w:val="center"/>
              <w:rPr>
                <w:rFonts w:ascii="Times New Roman"/>
                <w:sz w:val="18"/>
              </w:rPr>
            </w:pPr>
            <w:r>
              <w:rPr>
                <w:rFonts w:ascii="Times New Roman"/>
                <w:sz w:val="18"/>
              </w:rPr>
              <w:t>C</w:t>
            </w:r>
          </w:p>
        </w:tc>
        <w:tc>
          <w:tcPr>
            <w:tcW w:w="6095" w:type="dxa"/>
            <w:shd w:val="clear" w:color="auto" w:fill="auto"/>
            <w:vAlign w:val="center"/>
          </w:tcPr>
          <w:p w14:paraId="06BB19B9">
            <w:pPr>
              <w:spacing w:line="240" w:lineRule="auto"/>
              <w:jc w:val="center"/>
              <w:rPr>
                <w:rFonts w:ascii="Times New Roman"/>
                <w:sz w:val="18"/>
              </w:rPr>
            </w:pPr>
            <w:r>
              <w:rPr>
                <w:rFonts w:ascii="Times New Roman"/>
                <w:sz w:val="18"/>
              </w:rPr>
              <w:t>-1.375≤</w:t>
            </w:r>
            <w:r>
              <w:rPr>
                <w:rFonts w:ascii="Times New Roman"/>
                <w:i/>
                <w:sz w:val="18"/>
              </w:rPr>
              <w:t>Ri</w:t>
            </w:r>
            <w:r>
              <w:rPr>
                <w:rFonts w:ascii="Times New Roman"/>
                <w:sz w:val="18"/>
              </w:rPr>
              <w:t>&lt;-0.233</w:t>
            </w:r>
          </w:p>
        </w:tc>
      </w:tr>
      <w:tr w14:paraId="159AE2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shd w:val="clear" w:color="auto" w:fill="auto"/>
            <w:vAlign w:val="center"/>
          </w:tcPr>
          <w:p w14:paraId="0B7EB9A3">
            <w:pPr>
              <w:spacing w:line="240" w:lineRule="auto"/>
              <w:jc w:val="center"/>
              <w:rPr>
                <w:rFonts w:ascii="Times New Roman"/>
                <w:sz w:val="18"/>
              </w:rPr>
            </w:pPr>
            <w:r>
              <w:rPr>
                <w:rFonts w:ascii="Times New Roman"/>
                <w:sz w:val="18"/>
              </w:rPr>
              <w:t>D</w:t>
            </w:r>
          </w:p>
        </w:tc>
        <w:tc>
          <w:tcPr>
            <w:tcW w:w="6095" w:type="dxa"/>
            <w:shd w:val="clear" w:color="auto" w:fill="auto"/>
            <w:vAlign w:val="center"/>
          </w:tcPr>
          <w:p w14:paraId="17A44FED">
            <w:pPr>
              <w:spacing w:line="240" w:lineRule="auto"/>
              <w:jc w:val="center"/>
              <w:rPr>
                <w:rFonts w:ascii="Times New Roman"/>
                <w:sz w:val="18"/>
              </w:rPr>
            </w:pPr>
            <w:r>
              <w:rPr>
                <w:rFonts w:ascii="Times New Roman"/>
                <w:sz w:val="18"/>
              </w:rPr>
              <w:t>-0.233≤</w:t>
            </w:r>
            <w:r>
              <w:rPr>
                <w:rFonts w:ascii="Times New Roman"/>
                <w:i/>
                <w:sz w:val="18"/>
              </w:rPr>
              <w:t>Ri</w:t>
            </w:r>
            <w:r>
              <w:rPr>
                <w:rFonts w:ascii="Times New Roman"/>
                <w:sz w:val="18"/>
              </w:rPr>
              <w:t>&lt;0.145</w:t>
            </w:r>
          </w:p>
        </w:tc>
      </w:tr>
      <w:tr w14:paraId="3437B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shd w:val="clear" w:color="auto" w:fill="auto"/>
            <w:vAlign w:val="center"/>
          </w:tcPr>
          <w:p w14:paraId="7200A843">
            <w:pPr>
              <w:spacing w:line="240" w:lineRule="auto"/>
              <w:jc w:val="center"/>
              <w:rPr>
                <w:rFonts w:ascii="Times New Roman"/>
                <w:sz w:val="18"/>
              </w:rPr>
            </w:pPr>
            <w:r>
              <w:rPr>
                <w:rFonts w:ascii="Times New Roman"/>
                <w:sz w:val="18"/>
              </w:rPr>
              <w:t>E</w:t>
            </w:r>
          </w:p>
        </w:tc>
        <w:tc>
          <w:tcPr>
            <w:tcW w:w="6095" w:type="dxa"/>
            <w:shd w:val="clear" w:color="auto" w:fill="auto"/>
            <w:vAlign w:val="center"/>
          </w:tcPr>
          <w:p w14:paraId="1E441072">
            <w:pPr>
              <w:spacing w:line="240" w:lineRule="auto"/>
              <w:jc w:val="center"/>
              <w:rPr>
                <w:rFonts w:ascii="Times New Roman"/>
                <w:sz w:val="18"/>
              </w:rPr>
            </w:pPr>
            <w:r>
              <w:rPr>
                <w:rFonts w:ascii="Times New Roman"/>
                <w:sz w:val="18"/>
              </w:rPr>
              <w:t>0.145≤</w:t>
            </w:r>
            <w:r>
              <w:rPr>
                <w:rFonts w:ascii="Times New Roman"/>
                <w:i/>
                <w:sz w:val="18"/>
              </w:rPr>
              <w:t>Ri</w:t>
            </w:r>
            <w:r>
              <w:rPr>
                <w:rFonts w:ascii="Times New Roman"/>
                <w:sz w:val="18"/>
              </w:rPr>
              <w:t>&lt;0.636</w:t>
            </w:r>
          </w:p>
        </w:tc>
      </w:tr>
      <w:tr w14:paraId="21F221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0" w:type="dxa"/>
            <w:tcBorders>
              <w:bottom w:val="single" w:color="auto" w:sz="8" w:space="0"/>
            </w:tcBorders>
            <w:shd w:val="clear" w:color="auto" w:fill="auto"/>
            <w:vAlign w:val="center"/>
          </w:tcPr>
          <w:p w14:paraId="57FC05F1">
            <w:pPr>
              <w:spacing w:line="240" w:lineRule="auto"/>
              <w:jc w:val="center"/>
              <w:rPr>
                <w:rFonts w:ascii="Times New Roman"/>
                <w:sz w:val="18"/>
              </w:rPr>
            </w:pPr>
            <w:r>
              <w:rPr>
                <w:rFonts w:ascii="Times New Roman"/>
                <w:sz w:val="18"/>
              </w:rPr>
              <w:t>F</w:t>
            </w:r>
          </w:p>
        </w:tc>
        <w:tc>
          <w:tcPr>
            <w:tcW w:w="6095" w:type="dxa"/>
            <w:tcBorders>
              <w:bottom w:val="single" w:color="auto" w:sz="8" w:space="0"/>
            </w:tcBorders>
            <w:shd w:val="clear" w:color="auto" w:fill="auto"/>
            <w:vAlign w:val="center"/>
          </w:tcPr>
          <w:p w14:paraId="7A7CD486">
            <w:pPr>
              <w:spacing w:line="240" w:lineRule="auto"/>
              <w:jc w:val="center"/>
              <w:rPr>
                <w:rFonts w:ascii="Times New Roman"/>
                <w:sz w:val="18"/>
              </w:rPr>
            </w:pPr>
            <w:r>
              <w:rPr>
                <w:rFonts w:ascii="Times New Roman"/>
                <w:sz w:val="18"/>
              </w:rPr>
              <w:t>0.636≤</w:t>
            </w:r>
            <w:r>
              <w:rPr>
                <w:rFonts w:ascii="Times New Roman"/>
                <w:i/>
                <w:sz w:val="18"/>
              </w:rPr>
              <w:t>Ri</w:t>
            </w:r>
          </w:p>
        </w:tc>
      </w:tr>
    </w:tbl>
    <w:p w14:paraId="58F6B680">
      <w:pPr>
        <w:pStyle w:val="94"/>
        <w:spacing w:before="156" w:after="156"/>
        <w:ind w:left="0"/>
      </w:pPr>
      <w:bookmarkStart w:id="63" w:name="_Toc177025929"/>
      <w:bookmarkStart w:id="64" w:name="_Toc130808107"/>
      <w:r>
        <w:rPr>
          <w:rFonts w:hint="eastAsia"/>
        </w:rPr>
        <w:t>帕斯奎尔-特纳尔</w:t>
      </w:r>
      <w:r>
        <w:t>稳定度</w:t>
      </w:r>
    </w:p>
    <w:p w14:paraId="0BC43208">
      <w:pPr>
        <w:pStyle w:val="56"/>
        <w:ind w:firstLine="420"/>
      </w:pPr>
      <w:r>
        <w:rPr>
          <w:rFonts w:hint="eastAsia"/>
        </w:rPr>
        <w:t>按照</w:t>
      </w:r>
      <w:r>
        <w:rPr>
          <w:rFonts w:ascii="Times New Roman"/>
        </w:rPr>
        <w:t>GB/T 3840</w:t>
      </w:r>
      <w:r>
        <w:rPr>
          <w:rFonts w:hint="eastAsia" w:ascii="Times New Roman"/>
        </w:rPr>
        <w:t>中</w:t>
      </w:r>
      <w:r>
        <w:rPr>
          <w:rFonts w:ascii="Times New Roman"/>
        </w:rPr>
        <w:t>的方法</w:t>
      </w:r>
      <w:r>
        <w:rPr>
          <w:rFonts w:hint="eastAsia"/>
        </w:rPr>
        <w:t>，利用逐时云量、</w:t>
      </w:r>
      <w:r>
        <w:t>风速数据，采用帕斯奎尔-特纳尔稳定度分类法</w:t>
      </w:r>
      <w:r>
        <w:rPr>
          <w:rFonts w:hint="eastAsia"/>
        </w:rPr>
        <w:t>来</w:t>
      </w:r>
      <w:r>
        <w:t>划分大气稳定度等级，</w:t>
      </w:r>
      <w:r>
        <w:rPr>
          <w:rFonts w:hint="eastAsia"/>
        </w:rPr>
        <w:t>首先</w:t>
      </w:r>
      <w:r>
        <w:t>计算出</w:t>
      </w:r>
      <w:r>
        <w:rPr>
          <w:rFonts w:hint="eastAsia"/>
        </w:rPr>
        <w:t>每个</w:t>
      </w:r>
      <w:r>
        <w:t>时刻的</w:t>
      </w:r>
      <w:r>
        <w:rPr>
          <w:rFonts w:hint="eastAsia"/>
        </w:rPr>
        <w:t>太阳高度角</w:t>
      </w:r>
      <w:r>
        <w:t>，</w:t>
      </w:r>
      <w:r>
        <w:rPr>
          <w:rFonts w:hint="eastAsia"/>
        </w:rPr>
        <w:t>结合</w:t>
      </w:r>
      <w:r>
        <w:t>云量数据</w:t>
      </w:r>
      <w:r>
        <w:rPr>
          <w:rFonts w:ascii="Times New Roman"/>
        </w:rPr>
        <w:t>确定太阳辐射等级；随后结合太阳辐射等级与地面风速</w:t>
      </w:r>
      <w:r>
        <w:rPr>
          <w:rFonts w:hint="eastAsia"/>
        </w:rPr>
        <w:t>确定</w:t>
      </w:r>
      <w:r>
        <w:t>大气稳定度等级</w:t>
      </w:r>
      <w:r>
        <w:rPr>
          <w:rFonts w:hint="eastAsia"/>
        </w:rPr>
        <w:t>，可</w:t>
      </w:r>
      <w:r>
        <w:t>分为强不稳定、不稳定、弱不稳定、中性、较稳定和稳定六级，分别由</w:t>
      </w:r>
      <w:r>
        <w:rPr>
          <w:rFonts w:ascii="Times New Roman"/>
        </w:rPr>
        <w:t>A、B、C、D、E和F表</w:t>
      </w:r>
      <w:r>
        <w:rPr>
          <w:rFonts w:hint="eastAsia"/>
        </w:rPr>
        <w:t>示</w:t>
      </w:r>
      <w:r>
        <w:t>。</w:t>
      </w:r>
    </w:p>
    <w:p w14:paraId="27E20667">
      <w:pPr>
        <w:pStyle w:val="104"/>
        <w:spacing w:before="312" w:after="312"/>
      </w:pPr>
      <w:r>
        <w:rPr>
          <w:rFonts w:hint="eastAsia"/>
        </w:rPr>
        <w:t>本底筛分方法</w:t>
      </w:r>
      <w:bookmarkEnd w:id="63"/>
      <w:bookmarkEnd w:id="64"/>
    </w:p>
    <w:p w14:paraId="251C6E1E">
      <w:pPr>
        <w:pStyle w:val="105"/>
        <w:spacing w:before="156" w:after="156"/>
      </w:pPr>
      <w:bookmarkStart w:id="65" w:name="_Toc130808108"/>
      <w:r>
        <w:rPr>
          <w:rFonts w:hint="eastAsia"/>
        </w:rPr>
        <w:t>稳健局部回归筛分</w:t>
      </w:r>
      <w:bookmarkEnd w:id="65"/>
      <w:r>
        <w:rPr>
          <w:rFonts w:hint="eastAsia"/>
        </w:rPr>
        <w:t>法</w:t>
      </w:r>
    </w:p>
    <w:p w14:paraId="4EB9406D">
      <w:pPr>
        <w:pStyle w:val="56"/>
        <w:ind w:firstLine="420"/>
      </w:pPr>
      <w:r>
        <w:rPr>
          <w:rFonts w:hint="eastAsia"/>
        </w:rPr>
        <w:t>基于稳健局部回归算法对</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有效观测数据进行本底筛分，</w:t>
      </w:r>
      <w:r>
        <w:t>定义观测的浓度值</w:t>
      </w:r>
      <w:r>
        <w:rPr>
          <w:rFonts w:hint="eastAsia"/>
        </w:rPr>
        <w:t>为式</w:t>
      </w:r>
      <w:r>
        <w:rPr>
          <w:rFonts w:ascii="Times New Roman"/>
        </w:rPr>
        <w:t>（8）</w:t>
      </w:r>
      <w:r>
        <w:rPr>
          <w:rFonts w:hint="eastAsia"/>
        </w:rPr>
        <w:t>，假设</w:t>
      </w: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obs</m:t>
            </m:r>
            <m:ctrlPr>
              <w:rPr>
                <w:rFonts w:ascii="Cambria Math" w:hAnsi="Cambria Math"/>
                <w:i/>
                <w:kern w:val="2"/>
                <w:szCs w:val="21"/>
              </w:rPr>
            </m:ctrlPr>
          </m:sub>
        </m:sSub>
      </m:oMath>
      <w:r>
        <w:rPr>
          <w:rFonts w:hint="eastAsia"/>
        </w:rPr>
        <w:t>是连续的，可采用局部线性回归模型对</w:t>
      </w: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obs</m:t>
            </m:r>
            <m:ctrlPr>
              <w:rPr>
                <w:rFonts w:ascii="Cambria Math" w:hAnsi="Cambria Math"/>
                <w:i/>
                <w:kern w:val="2"/>
                <w:szCs w:val="21"/>
              </w:rPr>
            </m:ctrlPr>
          </m:sub>
        </m:sSub>
      </m:oMath>
      <w:r>
        <w:rPr>
          <w:rFonts w:hint="eastAsia"/>
        </w:rPr>
        <w:t>进行估算，因此在任何给定时刻</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rPr>
        <w:t>附近足够小的邻域内，可以认为</w:t>
      </w: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obs</m:t>
            </m:r>
            <m:ctrlPr>
              <w:rPr>
                <w:rFonts w:ascii="Cambria Math" w:hAnsi="Cambria Math"/>
                <w:i/>
                <w:kern w:val="2"/>
                <w:szCs w:val="21"/>
              </w:rPr>
            </m:ctrlPr>
          </m:sub>
        </m:sSub>
        <m:r>
          <m:rPr>
            <m:sty m:val="p"/>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oMath>
      <w:r>
        <w:rPr>
          <w:rFonts w:hint="eastAsia"/>
        </w:rPr>
        <w:t>为一条直线，在</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rPr>
        <w:t>附近的数可以应用最小二乘法求得。考虑到大气</w:t>
      </w:r>
      <w:r>
        <w:rPr>
          <w:rFonts w:ascii="Times New Roman"/>
        </w:rPr>
        <w:t>CO</w:t>
      </w:r>
      <w:r>
        <w:rPr>
          <w:rFonts w:ascii="Times New Roman"/>
          <w:vertAlign w:val="subscript"/>
        </w:rPr>
        <w:t>2</w:t>
      </w:r>
      <w:r>
        <w:rPr>
          <w:rFonts w:hint="eastAsia" w:ascii="Times New Roman"/>
        </w:rPr>
        <w:t>和</w:t>
      </w:r>
      <w:r>
        <w:rPr>
          <w:rFonts w:ascii="Times New Roman"/>
        </w:rPr>
        <w:t>CH</w:t>
      </w:r>
      <w:r>
        <w:rPr>
          <w:rFonts w:ascii="Times New Roman"/>
          <w:vertAlign w:val="subscript"/>
        </w:rPr>
        <w:t>4</w:t>
      </w:r>
      <w:r>
        <w:rPr>
          <w:rFonts w:hint="eastAsia"/>
        </w:rPr>
        <w:t>浓度的季节变化将带宽设置为</w:t>
      </w:r>
      <w:r>
        <w:rPr>
          <w:rFonts w:ascii="Times New Roman"/>
        </w:rPr>
        <w:t>60天（1440小时）</w:t>
      </w:r>
      <w:r>
        <w:rPr>
          <w:rFonts w:hint="eastAsia"/>
        </w:rPr>
        <w:t>，经过迭代计算使得拟合曲线收敛，计算得到尺度参数</w:t>
      </w:r>
      <m:oMath>
        <m:r>
          <m:rPr/>
          <w:rPr>
            <w:rFonts w:ascii="Cambria Math" w:hAnsi="Cambria Math"/>
            <w:sz w:val="22"/>
          </w:rPr>
          <m:t>δ</m:t>
        </m:r>
      </m:oMath>
      <w:r>
        <w:rPr>
          <w:rFonts w:hint="eastAsia"/>
        </w:rPr>
        <w:t>，将拟合值</w:t>
      </w:r>
      <m:oMath>
        <m:r>
          <m:rPr>
            <m:sty m:val="p"/>
          </m:rPr>
          <w:rPr>
            <w:rFonts w:hint="eastAsia" w:ascii="Cambria Math" w:hAnsi="Cambria Math"/>
          </w:rPr>
          <m:t>±</m:t>
        </m:r>
        <m:r>
          <m:rPr/>
          <w:rPr>
            <w:rFonts w:ascii="Cambria Math" w:hAnsi="Cambria Math"/>
            <w:sz w:val="22"/>
          </w:rPr>
          <m:t>δ</m:t>
        </m:r>
      </m:oMath>
      <w:r>
        <w:rPr>
          <w:rFonts w:hint="eastAsia"/>
        </w:rPr>
        <w:t>之间的观测数据筛分为本底值，其余数据则为局地值。详细的</w:t>
      </w:r>
      <w:r>
        <w:t>计算方法可参见文献</w:t>
      </w:r>
      <w:r>
        <w:rPr>
          <w:rFonts w:hint="eastAsia" w:ascii="Times New Roman"/>
        </w:rPr>
        <w:t>[</w:t>
      </w:r>
      <w:r>
        <w:rPr>
          <w:rFonts w:ascii="Times New Roman"/>
        </w:rPr>
        <w:t>7]</w:t>
      </w:r>
      <w:r>
        <w:rPr>
          <w:rFonts w:hint="eastAsia"/>
        </w:rPr>
        <w:t>。</w:t>
      </w:r>
    </w:p>
    <w:p w14:paraId="33E97309">
      <w:pPr>
        <w:pStyle w:val="113"/>
      </w:pPr>
      <w:r>
        <w:tab/>
      </w:r>
      <w:bookmarkStart w:id="66" w:name="OLE_LINK6"/>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obs</m:t>
            </m:r>
            <m:ctrlPr>
              <w:rPr>
                <w:rFonts w:ascii="Cambria Math" w:hAnsi="Cambria Math"/>
                <w:i/>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w:bookmarkEnd w:id="66"/>
          </m:e>
        </m:d>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bg</m:t>
            </m:r>
            <m:ctrlPr>
              <w:rPr>
                <w:rFonts w:ascii="Cambria Math" w:hAnsi="Cambria Math"/>
                <w:i/>
              </w:rPr>
            </m:ctrlPr>
          </m:sub>
        </m:sSub>
        <m:d>
          <m:dPr>
            <m:ctrlPr>
              <w:rPr>
                <w:rFonts w:ascii="Cambria Math" w:hAnsi="Cambria Math"/>
                <w:i/>
              </w:rPr>
            </m:ctrlPr>
          </m:dPr>
          <m:e>
            <m:sSub>
              <w:bookmarkStart w:id="67" w:name="OLE_LINK5"/>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w:bookmarkEnd w:id="67"/>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m:t>
            </m:r>
            <m:ctrlPr>
              <w:rPr>
                <w:rFonts w:ascii="Cambria Math" w:hAnsi="Cambria Math"/>
                <w:i/>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i</m:t>
            </m:r>
            <m:ctrlPr>
              <w:rPr>
                <w:rFonts w:ascii="Cambria Math" w:hAnsi="Cambria Math"/>
                <w:i/>
              </w:rPr>
            </m:ctrlPr>
          </m:sub>
        </m:sSub>
      </m:oMath>
      <w:r>
        <w:rPr>
          <w:rFonts w:ascii="微软雅黑" w:hAnsi="微软雅黑" w:eastAsia="微软雅黑"/>
        </w:rPr>
        <w:tab/>
      </w:r>
      <w:r>
        <w:t>(</w:t>
      </w:r>
      <w:r>
        <w:fldChar w:fldCharType="begin"/>
      </w:r>
      <w:r>
        <w:instrText xml:space="preserve"> AUTONUM </w:instrText>
      </w:r>
      <w:r>
        <w:fldChar w:fldCharType="end"/>
      </w:r>
      <w:r>
        <w:t>)</w:t>
      </w:r>
    </w:p>
    <w:p w14:paraId="7126968F">
      <w:pPr>
        <w:pStyle w:val="113"/>
        <w:ind w:firstLine="420" w:firstLineChars="200"/>
      </w:pPr>
      <w:r>
        <w:rPr>
          <w:rFonts w:hint="eastAsia"/>
        </w:rPr>
        <w:t>式中：</w:t>
      </w:r>
    </w:p>
    <w:p w14:paraId="706AF285">
      <w:pPr>
        <w:pStyle w:val="55"/>
        <w:ind w:firstLine="420"/>
      </w:pPr>
      <m:oMath>
        <m:sSub>
          <m:sSubPr>
            <m:ctrlPr>
              <w:rPr>
                <w:rFonts w:ascii="Cambria Math" w:hAnsi="Cambria Math"/>
                <w:i/>
                <w:kern w:val="2"/>
              </w:rPr>
            </m:ctrlPr>
          </m:sSubPr>
          <m:e>
            <m:r>
              <m:rPr/>
              <w:rPr>
                <w:rFonts w:ascii="Cambria Math" w:hAnsi="Cambria Math"/>
              </w:rPr>
              <m:t>C</m:t>
            </m:r>
            <m:ctrlPr>
              <w:rPr>
                <w:rFonts w:ascii="Cambria Math" w:hAnsi="Cambria Math"/>
                <w:i/>
                <w:kern w:val="2"/>
              </w:rPr>
            </m:ctrlPr>
          </m:e>
          <m:sub>
            <m:r>
              <m:rPr/>
              <w:rPr>
                <w:rFonts w:ascii="Cambria Math" w:hAnsi="Cambria Math"/>
              </w:rPr>
              <m:t>obs</m:t>
            </m:r>
            <m:ctrlPr>
              <w:rPr>
                <w:rFonts w:ascii="Cambria Math" w:hAnsi="Cambria Math"/>
                <w:i/>
                <w:kern w:val="2"/>
              </w:rPr>
            </m:ctrlPr>
          </m:sub>
        </m:sSub>
        <m:d>
          <m:dPr>
            <m:ctrlPr>
              <w:rPr>
                <w:rFonts w:ascii="Cambria Math" w:hAnsi="Cambria Math"/>
                <w:i/>
              </w:rPr>
            </m:ctrlPr>
          </m:dPr>
          <m:e>
            <m:sSub>
              <w:bookmarkStart w:id="68" w:name="OLE_LINK8"/>
              <w:bookmarkStart w:id="69" w:name="OLE_LINK7"/>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w:bookmarkEnd w:id="68"/>
                <w:bookmarkEnd w:id="69"/>
              </m:sub>
            </m:sSub>
            <m:ctrlPr>
              <w:rPr>
                <w:rFonts w:ascii="Cambria Math" w:hAnsi="Cambria Math"/>
                <w:i/>
              </w:rPr>
            </m:ctrlPr>
          </m:e>
        </m:d>
      </m:oMath>
      <w:r>
        <w:rPr>
          <w:rFonts w:hint="eastAsia"/>
        </w:rPr>
        <w:t xml:space="preserve"> ——</w:t>
      </w:r>
      <w:r>
        <w:rPr>
          <w:rFonts w:ascii="Times New Roman" w:hAnsi="Times New Roman"/>
        </w:rPr>
        <w:t>CO</w:t>
      </w:r>
      <w:r>
        <w:rPr>
          <w:rFonts w:ascii="Times New Roman" w:hAnsi="Times New Roman"/>
          <w:vertAlign w:val="subscript"/>
        </w:rPr>
        <w:t>2</w:t>
      </w:r>
      <w:r>
        <w:rPr>
          <w:rFonts w:hint="eastAsia" w:ascii="Times New Roman"/>
        </w:rPr>
        <w:t>或</w:t>
      </w:r>
      <w:r>
        <w:rPr>
          <w:rFonts w:ascii="Times New Roman" w:hAnsi="Times New Roman"/>
        </w:rPr>
        <w:t>CH</w:t>
      </w:r>
      <w:r>
        <w:rPr>
          <w:rFonts w:ascii="Times New Roman" w:hAnsi="Times New Roman"/>
          <w:vertAlign w:val="subscript"/>
        </w:rPr>
        <w:t>4</w:t>
      </w:r>
      <w:r>
        <w:rPr>
          <w:rFonts w:hint="eastAsia"/>
        </w:rPr>
        <w:t>浓度观测</w:t>
      </w:r>
      <w:r>
        <w:t>值</w:t>
      </w:r>
      <w:r>
        <w:rPr>
          <w:rFonts w:hint="eastAsia"/>
        </w:rPr>
        <w:t>；</w:t>
      </w:r>
    </w:p>
    <w:p w14:paraId="51E6BAD9">
      <w:pPr>
        <w:pStyle w:val="56"/>
        <w:ind w:firstLine="420"/>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bg</m:t>
            </m:r>
            <m:ctrlPr>
              <w:rPr>
                <w:rFonts w:ascii="Cambria Math" w:hAnsi="Cambria Math"/>
                <w:i/>
                <w:kern w:val="2"/>
                <w:szCs w:val="21"/>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oMath>
      <w:r>
        <w:rPr>
          <w:rFonts w:hint="eastAsia"/>
          <w:sz w:val="11"/>
        </w:rPr>
        <w:t xml:space="preserve"> </w:t>
      </w:r>
      <w:r>
        <w:rPr>
          <w:sz w:val="11"/>
        </w:rPr>
        <w:t xml:space="preserve">  </w:t>
      </w:r>
      <w:r>
        <w:rPr>
          <w:rFonts w:hint="eastAsia"/>
        </w:rPr>
        <w:t>——</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本底</w:t>
      </w:r>
      <w:r>
        <w:t>浓度</w:t>
      </w:r>
      <w:r>
        <w:rPr>
          <w:rFonts w:hint="eastAsia"/>
        </w:rPr>
        <w:t>值；</w:t>
      </w:r>
    </w:p>
    <w:p w14:paraId="1B9AEB47">
      <w:pPr>
        <w:pStyle w:val="56"/>
        <w:ind w:firstLine="420"/>
        <w:rPr>
          <w:kern w:val="2"/>
          <w:szCs w:val="21"/>
        </w:rPr>
      </w:pPr>
      <m:oMath>
        <m:sSub>
          <m:sSubPr>
            <m:ctrlPr>
              <w:rPr>
                <w:rFonts w:ascii="Cambria Math" w:hAnsi="Cambria Math"/>
                <w:i/>
                <w:kern w:val="2"/>
                <w:szCs w:val="21"/>
              </w:rPr>
            </m:ctrlPr>
          </m:sSubPr>
          <m:e>
            <m:r>
              <m:rPr/>
              <w:rPr>
                <w:rFonts w:ascii="Cambria Math" w:hAnsi="Cambria Math"/>
              </w:rPr>
              <m:t>C</m:t>
            </m:r>
            <m:ctrlPr>
              <w:rPr>
                <w:rFonts w:ascii="Cambria Math" w:hAnsi="Cambria Math"/>
                <w:i/>
                <w:kern w:val="2"/>
                <w:szCs w:val="21"/>
              </w:rPr>
            </m:ctrlPr>
          </m:e>
          <m:sub>
            <m:r>
              <m:rPr/>
              <w:rPr>
                <w:rFonts w:ascii="Cambria Math" w:hAnsi="Cambria Math"/>
              </w:rPr>
              <m:t>∆</m:t>
            </m:r>
            <m:ctrlPr>
              <w:rPr>
                <w:rFonts w:ascii="Cambria Math" w:hAnsi="Cambria Math"/>
                <w:i/>
                <w:kern w:val="2"/>
                <w:szCs w:val="21"/>
              </w:rPr>
            </m:ctrlPr>
          </m:sub>
        </m:sSub>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oMath>
      <w:r>
        <w:rPr>
          <w:rFonts w:hint="eastAsia"/>
          <w:kern w:val="2"/>
          <w:sz w:val="11"/>
          <w:szCs w:val="21"/>
        </w:rPr>
        <w:t xml:space="preserve"> </w:t>
      </w:r>
      <w:r>
        <w:rPr>
          <w:kern w:val="2"/>
          <w:sz w:val="11"/>
          <w:szCs w:val="21"/>
        </w:rPr>
        <w:t xml:space="preserve">    </w:t>
      </w:r>
      <w:r>
        <w:rPr>
          <w:rFonts w:hint="eastAsia"/>
          <w:kern w:val="2"/>
          <w:szCs w:val="21"/>
        </w:rPr>
        <w:t>——局地源</w:t>
      </w:r>
      <w:r>
        <w:rPr>
          <w:kern w:val="2"/>
          <w:szCs w:val="21"/>
        </w:rPr>
        <w:t>和汇的贡献量；</w:t>
      </w:r>
    </w:p>
    <w:p w14:paraId="2140D178">
      <w:pPr>
        <w:pStyle w:val="56"/>
        <w:ind w:firstLine="420"/>
        <w:rPr>
          <w:kern w:val="2"/>
          <w:szCs w:val="21"/>
        </w:rPr>
      </w:pPr>
      <m:oMath>
        <m:sSub>
          <m:sSubPr>
            <m:ctrlPr>
              <w:rPr>
                <w:rFonts w:ascii="Cambria Math" w:hAnsi="Cambria Math"/>
                <w:i/>
                <w:kern w:val="2"/>
                <w:szCs w:val="21"/>
              </w:rPr>
            </m:ctrlPr>
          </m:sSubPr>
          <m:e>
            <m:r>
              <m:rPr/>
              <w:rPr>
                <w:rFonts w:ascii="Cambria Math" w:hAnsi="Cambria Math"/>
              </w:rPr>
              <m:t>E</m:t>
            </m:r>
            <m:ctrlPr>
              <w:rPr>
                <w:rFonts w:ascii="Cambria Math" w:hAnsi="Cambria Math"/>
                <w:i/>
                <w:kern w:val="2"/>
                <w:szCs w:val="21"/>
              </w:rPr>
            </m:ctrlPr>
          </m:e>
          <m:sub>
            <m:r>
              <m:rPr/>
              <w:rPr>
                <w:rFonts w:ascii="Cambria Math" w:hAnsi="Cambria Math"/>
              </w:rPr>
              <m:t>i</m:t>
            </m:r>
            <m:ctrlPr>
              <w:rPr>
                <w:rFonts w:ascii="Cambria Math" w:hAnsi="Cambria Math"/>
                <w:i/>
                <w:kern w:val="2"/>
                <w:szCs w:val="21"/>
              </w:rPr>
            </m:ctrlPr>
          </m:sub>
        </m:sSub>
      </m:oMath>
      <w:r>
        <w:rPr>
          <w:rFonts w:hint="eastAsia"/>
          <w:kern w:val="2"/>
          <w:sz w:val="8"/>
          <w:szCs w:val="21"/>
        </w:rPr>
        <w:t xml:space="preserve"> </w:t>
      </w:r>
      <w:r>
        <w:rPr>
          <w:kern w:val="2"/>
          <w:sz w:val="8"/>
          <w:szCs w:val="21"/>
        </w:rPr>
        <w:t xml:space="preserve">              </w:t>
      </w:r>
      <w:r>
        <w:rPr>
          <w:rFonts w:hint="eastAsia"/>
          <w:kern w:val="2"/>
          <w:szCs w:val="21"/>
        </w:rPr>
        <w:t>——观测误差。</w:t>
      </w:r>
    </w:p>
    <w:p w14:paraId="62C5B188">
      <w:pPr>
        <w:pStyle w:val="105"/>
        <w:spacing w:before="156" w:after="156"/>
      </w:pPr>
      <w:bookmarkStart w:id="70" w:name="_Toc130808110"/>
      <w:r>
        <w:rPr>
          <w:rFonts w:hint="eastAsia"/>
        </w:rPr>
        <w:t>综合筛分</w:t>
      </w:r>
      <w:bookmarkEnd w:id="70"/>
      <w:r>
        <w:rPr>
          <w:rFonts w:hint="eastAsia"/>
        </w:rPr>
        <w:t>法</w:t>
      </w:r>
    </w:p>
    <w:p w14:paraId="381EF22F">
      <w:pPr>
        <w:pStyle w:val="65"/>
        <w:spacing w:before="156" w:after="156"/>
        <w:ind w:left="0"/>
      </w:pPr>
      <w:bookmarkStart w:id="71" w:name="_Hlk163982185"/>
      <w:r>
        <w:rPr>
          <w:rFonts w:hint="eastAsia"/>
        </w:rPr>
        <w:t>稳健局部回归筛分</w:t>
      </w:r>
    </w:p>
    <w:p w14:paraId="461F20EC">
      <w:pPr>
        <w:pStyle w:val="56"/>
        <w:ind w:firstLine="420"/>
      </w:pPr>
      <w:r>
        <w:rPr>
          <w:rFonts w:hint="eastAsia"/>
        </w:rPr>
        <w:t>采用</w:t>
      </w:r>
      <w:r>
        <w:rPr>
          <w:rFonts w:hint="eastAsia" w:ascii="Times New Roman"/>
        </w:rPr>
        <w:t>5.1</w:t>
      </w:r>
      <w:r>
        <w:rPr>
          <w:rFonts w:hint="eastAsia"/>
        </w:rPr>
        <w:t>稳健局部</w:t>
      </w:r>
      <w:r>
        <w:t>回归筛分法</w:t>
      </w:r>
      <w:r>
        <w:rPr>
          <w:rFonts w:hint="eastAsia"/>
        </w:rPr>
        <w:t>对</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有效观测数据进行本底筛分。</w:t>
      </w:r>
    </w:p>
    <w:p w14:paraId="0DDD145B">
      <w:pPr>
        <w:pStyle w:val="65"/>
        <w:spacing w:before="156" w:after="156"/>
        <w:ind w:left="0"/>
      </w:pPr>
      <w:r>
        <w:rPr>
          <w:rFonts w:hint="eastAsia"/>
        </w:rPr>
        <w:t>大气稳定度判定</w:t>
      </w:r>
    </w:p>
    <w:p w14:paraId="35F170DD">
      <w:pPr>
        <w:pStyle w:val="94"/>
        <w:spacing w:before="156" w:after="156"/>
        <w:ind w:left="0"/>
      </w:pPr>
      <w:r>
        <w:rPr>
          <w:rFonts w:hint="eastAsia"/>
        </w:rPr>
        <w:t>梯度理查森数判定</w:t>
      </w:r>
    </w:p>
    <w:p w14:paraId="352B8CCD">
      <w:pPr>
        <w:pStyle w:val="56"/>
        <w:ind w:firstLine="420"/>
      </w:pPr>
      <w:r>
        <w:rPr>
          <w:rFonts w:hint="eastAsia"/>
        </w:rPr>
        <w:t>经过稳健局部</w:t>
      </w:r>
      <w:r>
        <w:t>回归筛分</w:t>
      </w:r>
      <w:r>
        <w:rPr>
          <w:rFonts w:hint="eastAsia"/>
        </w:rPr>
        <w:t>后，</w:t>
      </w:r>
      <w:r>
        <w:t>对</w:t>
      </w:r>
      <w:r>
        <w:rPr>
          <w:rFonts w:hint="eastAsia"/>
        </w:rPr>
        <w:t>剩余</w:t>
      </w:r>
      <w:r>
        <w:rPr>
          <w:rFonts w:ascii="Times New Roman"/>
        </w:rPr>
        <w:t>CO</w:t>
      </w:r>
      <w:r>
        <w:rPr>
          <w:rFonts w:ascii="Times New Roman"/>
          <w:vertAlign w:val="subscript"/>
        </w:rPr>
        <w:t>2</w:t>
      </w:r>
      <w:r>
        <w:rPr>
          <w:rFonts w:ascii="Times New Roman"/>
        </w:rPr>
        <w:t>或CH</w:t>
      </w:r>
      <w:r>
        <w:rPr>
          <w:rFonts w:ascii="Times New Roman"/>
          <w:vertAlign w:val="subscript"/>
        </w:rPr>
        <w:t>4</w:t>
      </w:r>
      <w:r>
        <w:rPr>
          <w:rFonts w:hint="eastAsia" w:ascii="Times New Roman"/>
        </w:rPr>
        <w:t>浓度</w:t>
      </w:r>
      <w:r>
        <w:rPr>
          <w:rFonts w:ascii="Times New Roman"/>
        </w:rPr>
        <w:t>观测值进行大气稳定度判定，利用CO</w:t>
      </w:r>
      <w:r>
        <w:rPr>
          <w:rFonts w:ascii="Times New Roman"/>
          <w:vertAlign w:val="subscript"/>
        </w:rPr>
        <w:t>2</w:t>
      </w:r>
      <w:r>
        <w:rPr>
          <w:rFonts w:ascii="Times New Roman"/>
        </w:rPr>
        <w:t>或CH</w:t>
      </w:r>
      <w:r>
        <w:rPr>
          <w:rFonts w:ascii="Times New Roman"/>
          <w:vertAlign w:val="subscript"/>
        </w:rPr>
        <w:t>4</w:t>
      </w:r>
      <w:r>
        <w:rPr>
          <w:rFonts w:hint="eastAsia" w:ascii="Times New Roman"/>
        </w:rPr>
        <w:t>观测</w:t>
      </w:r>
      <w:r>
        <w:rPr>
          <w:rFonts w:hint="eastAsia"/>
        </w:rPr>
        <w:t>同期</w:t>
      </w:r>
      <w:r>
        <w:t>气象数据，</w:t>
      </w:r>
      <w:r>
        <w:rPr>
          <w:rFonts w:hint="eastAsia"/>
        </w:rPr>
        <w:t>根据</w:t>
      </w:r>
      <w:r>
        <w:rPr>
          <w:rFonts w:ascii="Times New Roman"/>
        </w:rPr>
        <w:t>4.3.2.1</w:t>
      </w:r>
      <w:r>
        <w:rPr>
          <w:rFonts w:hint="eastAsia"/>
        </w:rPr>
        <w:t>计算梯度理查森数，并进行大气稳定度分级，若稳定度等级为</w:t>
      </w:r>
      <w:r>
        <w:rPr>
          <w:rFonts w:ascii="Times New Roman"/>
        </w:rPr>
        <w:t>D、E、F，</w:t>
      </w:r>
      <w:r>
        <w:rPr>
          <w:rFonts w:hint="eastAsia" w:ascii="Times New Roman"/>
        </w:rPr>
        <w:t>表示高低层混合不充分，受局地排放源影响较大，</w:t>
      </w:r>
      <w:r>
        <w:rPr>
          <w:rFonts w:ascii="Times New Roman"/>
        </w:rPr>
        <w:t>则</w:t>
      </w:r>
      <w:r>
        <w:rPr>
          <w:rFonts w:hint="eastAsia" w:ascii="Times New Roman"/>
        </w:rPr>
        <w:t>将</w:t>
      </w:r>
      <w:r>
        <w:rPr>
          <w:rFonts w:ascii="Times New Roman"/>
        </w:rPr>
        <w:t>相应时刻的CO</w:t>
      </w:r>
      <w:r>
        <w:rPr>
          <w:rFonts w:ascii="Times New Roman"/>
          <w:vertAlign w:val="subscript"/>
        </w:rPr>
        <w:t>2</w:t>
      </w:r>
      <w:r>
        <w:rPr>
          <w:rFonts w:ascii="Times New Roman"/>
        </w:rPr>
        <w:t>或CH</w:t>
      </w:r>
      <w:r>
        <w:rPr>
          <w:rFonts w:ascii="Times New Roman"/>
          <w:vertAlign w:val="subscript"/>
        </w:rPr>
        <w:t>4</w:t>
      </w:r>
      <w:r>
        <w:rPr>
          <w:rFonts w:hint="eastAsia"/>
        </w:rPr>
        <w:t>观测数据筛分为局地值。</w:t>
      </w:r>
    </w:p>
    <w:p w14:paraId="066B336C">
      <w:pPr>
        <w:pStyle w:val="94"/>
        <w:spacing w:before="156" w:after="156"/>
        <w:ind w:left="0"/>
      </w:pPr>
      <w:r>
        <w:rPr>
          <w:rFonts w:hint="eastAsia"/>
        </w:rPr>
        <w:t>帕斯奎尔-特纳尔</w:t>
      </w:r>
      <w:r>
        <w:t>稳定度</w:t>
      </w:r>
      <w:r>
        <w:rPr>
          <w:rFonts w:hint="eastAsia"/>
        </w:rPr>
        <w:t>判定</w:t>
      </w:r>
    </w:p>
    <w:p w14:paraId="56EE50B0">
      <w:pPr>
        <w:pStyle w:val="56"/>
        <w:ind w:firstLine="420"/>
      </w:pPr>
      <w:r>
        <w:rPr>
          <w:rFonts w:hint="eastAsia"/>
        </w:rPr>
        <w:t>若气象</w:t>
      </w:r>
      <w:r>
        <w:t>数据</w:t>
      </w:r>
      <w:r>
        <w:rPr>
          <w:rFonts w:hint="eastAsia"/>
        </w:rPr>
        <w:t>无法</w:t>
      </w:r>
      <w:r>
        <w:t>满足</w:t>
      </w:r>
      <w:r>
        <w:rPr>
          <w:rFonts w:hint="eastAsia"/>
        </w:rPr>
        <w:t>梯度</w:t>
      </w:r>
      <w:r>
        <w:t>理查森数计算，</w:t>
      </w:r>
      <w:r>
        <w:rPr>
          <w:rFonts w:hint="eastAsia"/>
        </w:rPr>
        <w:t>根据</w:t>
      </w:r>
      <w:r>
        <w:rPr>
          <w:rFonts w:ascii="Times New Roman"/>
        </w:rPr>
        <w:t>4.3.2.2</w:t>
      </w:r>
      <w:r>
        <w:rPr>
          <w:rFonts w:hint="eastAsia"/>
        </w:rPr>
        <w:t>计算帕斯奎尔-特纳尔</w:t>
      </w:r>
      <w:r>
        <w:t>稳定度</w:t>
      </w:r>
      <w:r>
        <w:rPr>
          <w:rFonts w:hint="eastAsia"/>
        </w:rPr>
        <w:t>并</w:t>
      </w:r>
      <w:r>
        <w:t>进行分级，</w:t>
      </w:r>
      <w:r>
        <w:rPr>
          <w:rFonts w:hint="eastAsia" w:ascii="Times New Roman"/>
        </w:rPr>
        <w:t>若稳定度等级为D、E、F，则将相应时刻的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观测数据筛分为局地值。</w:t>
      </w:r>
    </w:p>
    <w:bookmarkEnd w:id="71"/>
    <w:p w14:paraId="54EF6ED8">
      <w:pPr>
        <w:pStyle w:val="94"/>
        <w:spacing w:before="156" w:after="156"/>
        <w:ind w:left="0"/>
      </w:pPr>
      <w:r>
        <w:rPr>
          <w:rFonts w:hint="eastAsia"/>
        </w:rPr>
        <w:t>混合时段判定</w:t>
      </w:r>
    </w:p>
    <w:p w14:paraId="4FA50B2A">
      <w:pPr>
        <w:pStyle w:val="56"/>
        <w:ind w:firstLine="420"/>
        <w:rPr>
          <w:rFonts w:ascii="Times New Roman"/>
        </w:rPr>
      </w:pPr>
      <w:r>
        <w:rPr>
          <w:rFonts w:hint="eastAsia" w:ascii="Times New Roman"/>
        </w:rPr>
        <w:t>若气象数据</w:t>
      </w:r>
      <w:r>
        <w:rPr>
          <w:rFonts w:ascii="Times New Roman"/>
        </w:rPr>
        <w:t>无法</w:t>
      </w:r>
      <w:r>
        <w:rPr>
          <w:rFonts w:hint="eastAsia" w:ascii="Times New Roman"/>
        </w:rPr>
        <w:t>满足</w:t>
      </w:r>
      <w:r>
        <w:rPr>
          <w:rFonts w:hint="eastAsia"/>
        </w:rPr>
        <w:t>帕斯奎尔-特纳尔</w:t>
      </w:r>
      <w:r>
        <w:t>稳定度</w:t>
      </w:r>
      <w:r>
        <w:rPr>
          <w:rFonts w:hint="eastAsia"/>
        </w:rPr>
        <w:t>以及梯度理查森数计算</w:t>
      </w:r>
      <w:r>
        <w:t>，</w:t>
      </w:r>
      <w:r>
        <w:rPr>
          <w:rFonts w:ascii="Times New Roman"/>
        </w:rPr>
        <w:t>则</w:t>
      </w:r>
      <w:r>
        <w:rPr>
          <w:rFonts w:hint="eastAsia" w:ascii="Times New Roman"/>
        </w:rPr>
        <w:t>将每日18:00</w:t>
      </w:r>
      <w:r>
        <w:rPr>
          <w:iCs/>
        </w:rPr>
        <w:t>～次日</w:t>
      </w:r>
      <w:r>
        <w:rPr>
          <w:rFonts w:hint="eastAsia" w:ascii="Times New Roman"/>
        </w:rPr>
        <w:t>8:00（北京时间）的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观测数据筛分为局地值。</w:t>
      </w:r>
    </w:p>
    <w:p w14:paraId="18CF94F8">
      <w:pPr>
        <w:pStyle w:val="65"/>
        <w:spacing w:before="156" w:after="156"/>
        <w:ind w:left="0"/>
      </w:pPr>
      <w:r>
        <w:rPr>
          <w:rFonts w:hint="eastAsia"/>
        </w:rPr>
        <w:t>风向</w:t>
      </w:r>
      <w:r>
        <w:t>与</w:t>
      </w:r>
      <w:r>
        <w:rPr>
          <w:rFonts w:hint="eastAsia"/>
        </w:rPr>
        <w:t>浓度</w:t>
      </w:r>
      <w:r>
        <w:t>判定</w:t>
      </w:r>
    </w:p>
    <w:p w14:paraId="6E92A504">
      <w:pPr>
        <w:pStyle w:val="56"/>
        <w:ind w:firstLine="420"/>
      </w:pPr>
      <w:r>
        <w:rPr>
          <w:rFonts w:hint="eastAsia"/>
        </w:rPr>
        <w:t>经过稳健局部</w:t>
      </w:r>
      <w:r>
        <w:t>回归筛分</w:t>
      </w:r>
      <w:r>
        <w:rPr>
          <w:rFonts w:hint="eastAsia"/>
        </w:rPr>
        <w:t>及</w:t>
      </w:r>
      <w:r>
        <w:rPr>
          <w:rFonts w:hint="eastAsia"/>
          <w:color w:val="000000" w:themeColor="text1"/>
          <w14:textFill>
            <w14:solidFill>
              <w14:schemeClr w14:val="tx1"/>
            </w14:solidFill>
          </w14:textFill>
        </w:rPr>
        <w:t>大气稳定度</w:t>
      </w:r>
      <w:r>
        <w:rPr>
          <w:rFonts w:hint="eastAsia"/>
        </w:rPr>
        <w:t>判定</w:t>
      </w:r>
      <w:r>
        <w:t>后，对剩余</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w:t>
      </w:r>
      <w:r>
        <w:rPr>
          <w:rFonts w:hint="eastAsia"/>
        </w:rPr>
        <w:t>观测</w:t>
      </w:r>
      <w:r>
        <w:t>值进一步基于</w:t>
      </w:r>
      <w:r>
        <w:rPr>
          <w:rFonts w:hint="eastAsia"/>
        </w:rPr>
        <w:t>风向与</w:t>
      </w:r>
      <w:r>
        <w:t>浓度进行判定。</w:t>
      </w:r>
    </w:p>
    <w:p w14:paraId="0AD169C4">
      <w:pPr>
        <w:pStyle w:val="56"/>
        <w:ind w:firstLine="420"/>
      </w:pPr>
      <w:r>
        <w:rPr>
          <w:rFonts w:hint="eastAsia"/>
        </w:rPr>
        <w:t>结合</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观测同期</w:t>
      </w:r>
      <w:r>
        <w:t>逐时风向数据</w:t>
      </w:r>
      <w:r>
        <w:rPr>
          <w:rFonts w:hint="eastAsia"/>
        </w:rPr>
        <w:t>，根据</w:t>
      </w:r>
      <w:r>
        <w:rPr>
          <w:rFonts w:ascii="Times New Roman" w:eastAsia="黑体"/>
        </w:rPr>
        <w:t>4.3.1.2</w:t>
      </w:r>
      <w:r>
        <w:rPr>
          <w:rFonts w:ascii="Times New Roman"/>
        </w:rPr>
        <w:t>计算CO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ascii="Times New Roman"/>
        </w:rPr>
        <w:t>的</w:t>
      </w:r>
      <w:r>
        <w:rPr>
          <w:rFonts w:ascii="Times New Roman"/>
        </w:rPr>
        <w:t>逐月逐风向平均浓度</w:t>
      </w:r>
      <m:oMath>
        <m:sSub>
          <m:sSubPr>
            <m:ctrlPr>
              <w:rPr>
                <w:rFonts w:ascii="Cambria Math" w:hAnsi="Cambria Math"/>
                <w:kern w:val="2"/>
                <w:szCs w:val="21"/>
              </w:rPr>
            </m:ctrlPr>
          </m:sSubPr>
          <m:e>
            <m:bar>
              <m:barPr>
                <m:pos m:val="top"/>
                <m:ctrlPr>
                  <w:rPr>
                    <w:rFonts w:ascii="Cambria Math" w:hAnsi="Cambria Math"/>
                    <w:i/>
                    <w:kern w:val="2"/>
                    <w:szCs w:val="21"/>
                  </w:rPr>
                </m:ctrlPr>
              </m:barPr>
              <m:e>
                <m:r>
                  <m:rPr/>
                  <w:rPr>
                    <w:rFonts w:ascii="Cambria Math" w:hAnsi="Cambria Math"/>
                    <w:kern w:val="2"/>
                    <w:szCs w:val="21"/>
                  </w:rPr>
                  <m:t>C</m:t>
                </m:r>
                <m:ctrlPr>
                  <w:rPr>
                    <w:rFonts w:ascii="Cambria Math" w:hAnsi="Cambria Math"/>
                    <w:i/>
                    <w:kern w:val="2"/>
                    <w:szCs w:val="21"/>
                  </w:rPr>
                </m:ctrlPr>
              </m:e>
            </m:bar>
            <m:ctrlPr>
              <w:rPr>
                <w:rFonts w:ascii="Cambria Math" w:hAnsi="Cambria Math"/>
                <w:kern w:val="2"/>
                <w:szCs w:val="21"/>
              </w:rPr>
            </m:ctrlPr>
          </m:e>
          <m:sub>
            <m:r>
              <m:rPr/>
              <w:rPr>
                <w:rFonts w:ascii="Cambria Math" w:hAnsi="Cambria Math"/>
                <w:kern w:val="2"/>
                <w:szCs w:val="21"/>
              </w:rPr>
              <m:t>m,n</m:t>
            </m:r>
            <m:ctrlPr>
              <w:rPr>
                <w:rFonts w:ascii="Cambria Math" w:hAnsi="Cambria Math"/>
                <w:kern w:val="2"/>
                <w:szCs w:val="21"/>
              </w:rPr>
            </m:ctrlPr>
          </m:sub>
        </m:sSub>
      </m:oMath>
      <w:r>
        <w:rPr>
          <w:rFonts w:ascii="Times New Roman"/>
        </w:rPr>
        <w:t>，根据</w:t>
      </w:r>
      <w:r>
        <w:rPr>
          <w:rFonts w:ascii="Times New Roman" w:eastAsia="黑体"/>
        </w:rPr>
        <w:t>4.3.1.3</w:t>
      </w:r>
      <w:r>
        <w:rPr>
          <w:rFonts w:ascii="Times New Roman"/>
        </w:rPr>
        <w:t>计算逐月</w:t>
      </w:r>
      <w:r>
        <w:rPr>
          <w:rFonts w:hint="eastAsia" w:ascii="Times New Roman"/>
        </w:rPr>
        <w:t>十六风向</w:t>
      </w:r>
      <w:r>
        <w:rPr>
          <w:rFonts w:ascii="Times New Roman"/>
        </w:rPr>
        <w:t>平均浓度</w:t>
      </w: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r>
              <m:rPr>
                <m:sty m:val="p"/>
              </m:rPr>
              <w:rPr>
                <w:rFonts w:ascii="Cambria Math" w:hAnsi="Cambria Math"/>
              </w:rPr>
              <m:t>,1−16</m:t>
            </m:r>
            <m:ctrlPr>
              <w:rPr>
                <w:rFonts w:ascii="Cambria Math" w:hAnsi="Cambria Math"/>
              </w:rPr>
            </m:ctrlPr>
          </m:sub>
        </m:sSub>
      </m:oMath>
      <w:r>
        <w:rPr>
          <w:rFonts w:ascii="Times New Roman"/>
        </w:rPr>
        <w:t>，根据</w:t>
      </w:r>
      <w:r>
        <w:rPr>
          <w:rFonts w:ascii="Times New Roman" w:eastAsia="黑体"/>
        </w:rPr>
        <w:t>4.3.1.4</w:t>
      </w:r>
      <w:r>
        <w:rPr>
          <w:rFonts w:hint="eastAsia"/>
        </w:rPr>
        <w:t>计算逐月十六风向浓度</w:t>
      </w:r>
      <w:r>
        <w:t>标准差</w:t>
      </w:r>
      <m:oMath>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m,1−16</m:t>
            </m:r>
            <m:ctrlPr>
              <w:rPr>
                <w:rFonts w:ascii="Cambria Math" w:hAnsi="Cambria Math"/>
                <w:kern w:val="2"/>
                <w:szCs w:val="21"/>
              </w:rPr>
            </m:ctrlPr>
          </m:sub>
        </m:sSub>
      </m:oMath>
      <w:r>
        <w:rPr>
          <w:rFonts w:hint="eastAsia"/>
        </w:rPr>
        <w:t>，对于</w:t>
      </w:r>
      <m:oMath>
        <m:r>
          <m:rPr/>
          <w:rPr>
            <w:rFonts w:ascii="Cambria Math" w:hAnsi="Cambria Math"/>
          </w:rPr>
          <m:t>m</m:t>
        </m:r>
      </m:oMath>
      <w:r>
        <w:t>月</w:t>
      </w:r>
      <m:oMath>
        <m:r>
          <m:rPr/>
          <w:rPr>
            <w:rFonts w:ascii="Cambria Math" w:hAnsi="Cambria Math"/>
          </w:rPr>
          <m:t>n</m:t>
        </m:r>
      </m:oMath>
      <w:r>
        <w:t>风向，</w:t>
      </w:r>
      <w:r>
        <w:rPr>
          <w:rFonts w:hint="eastAsia"/>
        </w:rPr>
        <w:t>若</w:t>
      </w:r>
      <m:oMath>
        <m:d>
          <m:dPr>
            <m:begChr m:val="|"/>
            <m:endChr m:val="|"/>
            <m:ctrlPr>
              <w:rPr>
                <w:rFonts w:ascii="Cambria Math" w:hAnsi="Cambria Math"/>
                <w:kern w:val="2"/>
                <w:szCs w:val="21"/>
              </w:rPr>
            </m:ctrlPr>
          </m:dPr>
          <m:e>
            <m:sSub>
              <m:sSubPr>
                <m:ctrlPr>
                  <w:rPr>
                    <w:rFonts w:ascii="Cambria Math" w:hAnsi="Cambria Math"/>
                    <w:kern w:val="2"/>
                    <w:szCs w:val="21"/>
                  </w:rPr>
                </m:ctrlPr>
              </m:sSubPr>
              <m:e>
                <m:bar>
                  <m:barPr>
                    <m:pos m:val="top"/>
                    <m:ctrlPr>
                      <w:rPr>
                        <w:rFonts w:ascii="Cambria Math" w:hAnsi="Cambria Math"/>
                        <w:i/>
                        <w:kern w:val="2"/>
                        <w:szCs w:val="21"/>
                      </w:rPr>
                    </m:ctrlPr>
                  </m:barPr>
                  <m:e>
                    <m:r>
                      <m:rPr/>
                      <w:rPr>
                        <w:rFonts w:ascii="Cambria Math" w:hAnsi="Cambria Math"/>
                        <w:kern w:val="2"/>
                        <w:szCs w:val="21"/>
                      </w:rPr>
                      <m:t>C</m:t>
                    </m:r>
                    <m:ctrlPr>
                      <w:rPr>
                        <w:rFonts w:ascii="Cambria Math" w:hAnsi="Cambria Math"/>
                        <w:i/>
                        <w:kern w:val="2"/>
                        <w:szCs w:val="21"/>
                      </w:rPr>
                    </m:ctrlPr>
                  </m:e>
                </m:bar>
                <m:ctrlPr>
                  <w:rPr>
                    <w:rFonts w:ascii="Cambria Math" w:hAnsi="Cambria Math"/>
                    <w:kern w:val="2"/>
                    <w:szCs w:val="21"/>
                  </w:rPr>
                </m:ctrlPr>
              </m:e>
              <m:sub>
                <m:r>
                  <m:rPr/>
                  <w:rPr>
                    <w:rFonts w:ascii="Cambria Math" w:hAnsi="Cambria Math"/>
                    <w:kern w:val="2"/>
                    <w:szCs w:val="21"/>
                  </w:rPr>
                  <m:t>m,n</m:t>
                </m:r>
                <m:ctrlPr>
                  <w:rPr>
                    <w:rFonts w:ascii="Cambria Math" w:hAnsi="Cambria Math"/>
                    <w:kern w:val="2"/>
                    <w:szCs w:val="21"/>
                  </w:rPr>
                </m:ctrlPr>
              </m:sub>
            </m:sSub>
            <m:r>
              <m:rPr/>
              <w:rPr>
                <w:rFonts w:ascii="Cambria Math" w:hAnsi="Cambria Math"/>
                <w:kern w:val="2"/>
                <w:szCs w:val="21"/>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m,1−16</m:t>
                </m:r>
                <m:ctrlPr>
                  <w:rPr>
                    <w:rFonts w:ascii="Cambria Math" w:hAnsi="Cambria Math"/>
                  </w:rPr>
                </m:ctrlPr>
              </m:sub>
            </m:sSub>
            <m:ctrlPr>
              <w:rPr>
                <w:rFonts w:ascii="Cambria Math" w:hAnsi="Cambria Math"/>
                <w:kern w:val="2"/>
                <w:szCs w:val="21"/>
              </w:rPr>
            </m:ctrlPr>
          </m:e>
        </m:d>
        <m:r>
          <m:rPr/>
          <w:rPr>
            <w:rFonts w:ascii="Cambria Math" w:hAnsi="Cambria Math"/>
            <w:kern w:val="2"/>
            <w:szCs w:val="21"/>
          </w:rPr>
          <m:t>&gt;2</m:t>
        </m:r>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m,1−16</m:t>
            </m:r>
            <m:ctrlPr>
              <w:rPr>
                <w:rFonts w:ascii="Cambria Math" w:hAnsi="Cambria Math"/>
                <w:kern w:val="2"/>
                <w:szCs w:val="21"/>
              </w:rPr>
            </m:ctrlPr>
          </m:sub>
        </m:sSub>
      </m:oMath>
      <w:r>
        <w:rPr>
          <w:rFonts w:hint="eastAsia"/>
        </w:rPr>
        <w:t>，则将该</w:t>
      </w:r>
      <w:r>
        <w:t>月</w:t>
      </w:r>
      <w:r>
        <w:rPr>
          <w:rFonts w:hint="eastAsia"/>
        </w:rPr>
        <w:t>该</w:t>
      </w:r>
      <w:r>
        <w:t>风向的</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观测浓度值筛分为局地值。</w:t>
      </w:r>
    </w:p>
    <w:p w14:paraId="1ED3397B">
      <w:pPr>
        <w:pStyle w:val="65"/>
        <w:spacing w:before="156" w:after="156"/>
        <w:ind w:left="0"/>
      </w:pPr>
      <w:r>
        <w:rPr>
          <w:rFonts w:hint="eastAsia"/>
        </w:rPr>
        <w:t>风速</w:t>
      </w:r>
      <w:r>
        <w:t>判定</w:t>
      </w:r>
    </w:p>
    <w:p w14:paraId="2850DCC8">
      <w:pPr>
        <w:pStyle w:val="56"/>
        <w:ind w:firstLine="420"/>
      </w:pPr>
      <w:r>
        <w:rPr>
          <w:rFonts w:hint="eastAsia"/>
        </w:rPr>
        <w:t>经过稳健局部</w:t>
      </w:r>
      <w:r>
        <w:t>回归筛分</w:t>
      </w:r>
      <w:r>
        <w:rPr>
          <w:rFonts w:hint="eastAsia"/>
        </w:rPr>
        <w:t>、</w:t>
      </w:r>
      <w:r>
        <w:rPr>
          <w:rFonts w:hint="eastAsia"/>
          <w:color w:val="000000" w:themeColor="text1"/>
          <w14:textFill>
            <w14:solidFill>
              <w14:schemeClr w14:val="tx1"/>
            </w14:solidFill>
          </w14:textFill>
        </w:rPr>
        <w:t>大气稳定度</w:t>
      </w:r>
      <w:r>
        <w:t>判定</w:t>
      </w:r>
      <w:r>
        <w:rPr>
          <w:rFonts w:hint="eastAsia"/>
        </w:rPr>
        <w:t>及风向</w:t>
      </w:r>
      <w:r>
        <w:t>与浓度判定后，</w:t>
      </w:r>
      <w:r>
        <w:rPr>
          <w:rFonts w:hint="eastAsia"/>
        </w:rPr>
        <w:t>对</w:t>
      </w:r>
      <w:r>
        <w:t>剩余</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w:t>
      </w:r>
      <w:r>
        <w:rPr>
          <w:rFonts w:hint="eastAsia"/>
        </w:rPr>
        <w:t>观测</w:t>
      </w:r>
      <w:r>
        <w:t>值</w:t>
      </w:r>
      <w:r>
        <w:rPr>
          <w:rFonts w:hint="eastAsia"/>
        </w:rPr>
        <w:t>进一步</w:t>
      </w:r>
      <w:r>
        <w:t>基于风速阈值进行判定</w:t>
      </w:r>
      <w:r>
        <w:rPr>
          <w:rFonts w:hint="eastAsia"/>
        </w:rPr>
        <w:t>。</w:t>
      </w:r>
    </w:p>
    <w:p w14:paraId="4132A7DE">
      <w:pPr>
        <w:pStyle w:val="56"/>
        <w:ind w:firstLine="420"/>
      </w:pPr>
      <w:r>
        <w:rPr>
          <w:rFonts w:hint="eastAsia"/>
        </w:rPr>
        <w:t>结合</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观测同</w:t>
      </w:r>
      <w:r>
        <w:rPr>
          <w:rFonts w:hint="eastAsia"/>
        </w:rPr>
        <w:t>期</w:t>
      </w:r>
      <w:r>
        <w:t>逐时风速数据，将</w:t>
      </w:r>
      <w:r>
        <w:rPr>
          <w:rFonts w:hint="eastAsia"/>
        </w:rPr>
        <w:t>风速</w:t>
      </w:r>
      <w:r>
        <w:t>小于</w:t>
      </w:r>
      <w:r>
        <w:rPr>
          <w:rFonts w:ascii="Times New Roman"/>
        </w:rPr>
        <w:t>1.5 m/s</w:t>
      </w:r>
      <w:r>
        <w:rPr>
          <w:rFonts w:hint="eastAsia" w:ascii="Times New Roman"/>
        </w:rPr>
        <w:t>（一级风）的</w:t>
      </w:r>
      <w:r>
        <w:rPr>
          <w:rFonts w:ascii="Times New Roman"/>
        </w:rPr>
        <w:t>时刻所对应的CO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ascii="Times New Roman"/>
        </w:rPr>
        <w:t>观测浓度值筛分为</w:t>
      </w:r>
      <w:r>
        <w:rPr>
          <w:rFonts w:hint="eastAsia" w:ascii="Times New Roman"/>
        </w:rPr>
        <w:t>局地值。</w:t>
      </w:r>
    </w:p>
    <w:p w14:paraId="4F5EC6DD">
      <w:pPr>
        <w:pStyle w:val="65"/>
        <w:spacing w:before="156" w:after="156"/>
        <w:ind w:left="0"/>
      </w:pPr>
      <w:r>
        <w:rPr>
          <w:rFonts w:hint="eastAsia"/>
        </w:rPr>
        <w:t>异常值判定</w:t>
      </w:r>
    </w:p>
    <w:p w14:paraId="01FFF69D">
      <w:pPr>
        <w:pStyle w:val="56"/>
        <w:ind w:firstLine="420"/>
      </w:pPr>
      <w:r>
        <w:rPr>
          <w:rFonts w:hint="eastAsia"/>
        </w:rPr>
        <w:t>经过稳健局部</w:t>
      </w:r>
      <w:r>
        <w:t>回归筛分</w:t>
      </w:r>
      <w:r>
        <w:rPr>
          <w:rFonts w:hint="eastAsia"/>
        </w:rPr>
        <w:t>、</w:t>
      </w:r>
      <w:r>
        <w:rPr>
          <w:rFonts w:hint="eastAsia"/>
          <w:color w:val="000000" w:themeColor="text1"/>
          <w14:textFill>
            <w14:solidFill>
              <w14:schemeClr w14:val="tx1"/>
            </w14:solidFill>
          </w14:textFill>
        </w:rPr>
        <w:t>大气稳定度</w:t>
      </w:r>
      <w:r>
        <w:rPr>
          <w:rFonts w:hint="eastAsia"/>
        </w:rPr>
        <w:t>判定、风向</w:t>
      </w:r>
      <w:r>
        <w:t>与</w:t>
      </w:r>
      <w:r>
        <w:rPr>
          <w:rFonts w:hint="eastAsia"/>
        </w:rPr>
        <w:t>浓度</w:t>
      </w:r>
      <w:r>
        <w:t>判定</w:t>
      </w:r>
      <w:r>
        <w:rPr>
          <w:rFonts w:hint="eastAsia"/>
        </w:rPr>
        <w:t>及风速</w:t>
      </w:r>
      <w:r>
        <w:t>判定</w:t>
      </w:r>
      <w:r>
        <w:rPr>
          <w:rFonts w:hint="eastAsia"/>
        </w:rPr>
        <w:t>后</w:t>
      </w:r>
      <w:r>
        <w:t>，</w:t>
      </w:r>
      <w:r>
        <w:rPr>
          <w:rFonts w:hint="eastAsia"/>
        </w:rPr>
        <w:t>针</w:t>
      </w:r>
      <w:r>
        <w:t>对剩余</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hint="eastAsia"/>
        </w:rPr>
        <w:t>浓度观测</w:t>
      </w:r>
      <w:r>
        <w:t>值</w:t>
      </w:r>
      <w:r>
        <w:rPr>
          <w:rFonts w:hint="eastAsia"/>
        </w:rPr>
        <w:t>，</w:t>
      </w:r>
      <w:r>
        <w:t>根据</w:t>
      </w:r>
      <w:r>
        <w:rPr>
          <w:rFonts w:ascii="Times New Roman"/>
        </w:rPr>
        <w:t>4.3.1.5</w:t>
      </w:r>
      <w:r>
        <w:rPr>
          <w:rFonts w:hint="eastAsia"/>
        </w:rPr>
        <w:t>逐月</w:t>
      </w:r>
      <w:r>
        <w:t>计算</w:t>
      </w:r>
      <w:r>
        <w:rPr>
          <w:rFonts w:hint="eastAsia"/>
        </w:rPr>
        <w:t>平均值</w:t>
      </w:r>
      <m:oMath>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ctrlPr>
              <w:rPr>
                <w:rFonts w:ascii="Cambria Math" w:hAnsi="Cambria Math"/>
              </w:rPr>
            </m:ctrlPr>
          </m:sub>
        </m:sSub>
      </m:oMath>
      <w:r>
        <w:rPr>
          <w:rFonts w:hint="eastAsia"/>
        </w:rPr>
        <w:t>，</w:t>
      </w:r>
      <w:r>
        <w:t>根据</w:t>
      </w:r>
      <w:r>
        <w:rPr>
          <w:rFonts w:ascii="Times New Roman"/>
        </w:rPr>
        <w:t>4.3.1.6</w:t>
      </w:r>
      <w:r>
        <w:rPr>
          <w:rFonts w:hint="eastAsia"/>
        </w:rPr>
        <w:t>逐月计算</w:t>
      </w:r>
      <w:r>
        <w:t>标准差</w:t>
      </w:r>
      <m:oMath>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m:t>
            </m:r>
            <m:ctrlPr>
              <w:rPr>
                <w:rFonts w:ascii="Cambria Math" w:hAnsi="Cambria Math"/>
                <w:kern w:val="2"/>
                <w:szCs w:val="21"/>
              </w:rPr>
            </m:ctrlPr>
          </m:sub>
        </m:sSub>
      </m:oMath>
      <w:r>
        <w:rPr>
          <w:rFonts w:hint="eastAsia"/>
        </w:rPr>
        <w:t>，对于某</w:t>
      </w:r>
      <w:r>
        <w:t>时刻，</w:t>
      </w:r>
      <w:r>
        <w:rPr>
          <w:rFonts w:hint="eastAsia"/>
        </w:rPr>
        <w:t>若</w:t>
      </w:r>
      <m:oMath>
        <m:d>
          <m:dPr>
            <m:begChr m:val="|"/>
            <m:endChr m:val="|"/>
            <m:ctrlPr>
              <w:rPr>
                <w:rFonts w:ascii="Cambria Math" w:hAnsi="Cambria Math"/>
                <w:kern w:val="2"/>
                <w:szCs w:val="21"/>
              </w:rPr>
            </m:ctrlPr>
          </m:dPr>
          <m:e>
            <m:sSubSup>
              <m:sSubSupPr>
                <m:ctrlPr>
                  <w:rPr>
                    <w:rFonts w:ascii="Cambria Math" w:hAnsi="Cambria Math"/>
                    <w:kern w:val="2"/>
                    <w:szCs w:val="21"/>
                  </w:rPr>
                </m:ctrlPr>
              </m:sSubSupPr>
              <m:e>
                <m:r>
                  <m:rPr/>
                  <w:rPr>
                    <w:rFonts w:ascii="Cambria Math" w:hAnsi="Cambria Math"/>
                    <w:kern w:val="2"/>
                    <w:szCs w:val="21"/>
                  </w:rPr>
                  <m:t>C</m:t>
                </m:r>
                <m:ctrlPr>
                  <w:rPr>
                    <w:rFonts w:ascii="Cambria Math" w:hAnsi="Cambria Math"/>
                    <w:kern w:val="2"/>
                    <w:szCs w:val="21"/>
                  </w:rPr>
                </m:ctrlPr>
              </m:e>
              <m:sub>
                <m:r>
                  <m:rPr/>
                  <w:rPr>
                    <w:rFonts w:ascii="Cambria Math" w:hAnsi="Cambria Math"/>
                    <w:kern w:val="2"/>
                    <w:szCs w:val="21"/>
                  </w:rPr>
                  <m:t>m</m:t>
                </m:r>
                <m:ctrlPr>
                  <w:rPr>
                    <w:rFonts w:ascii="Cambria Math" w:hAnsi="Cambria Math"/>
                    <w:kern w:val="2"/>
                    <w:szCs w:val="21"/>
                  </w:rPr>
                </m:ctrlPr>
              </m:sub>
              <m:sup>
                <m:r>
                  <m:rPr/>
                  <w:rPr>
                    <w:rFonts w:ascii="Cambria Math" w:hAnsi="Cambria Math"/>
                    <w:kern w:val="2"/>
                    <w:szCs w:val="21"/>
                  </w:rPr>
                  <m:t>i</m:t>
                </m:r>
                <m:ctrlPr>
                  <w:rPr>
                    <w:rFonts w:ascii="Cambria Math" w:hAnsi="Cambria Math"/>
                    <w:kern w:val="2"/>
                    <w:szCs w:val="21"/>
                  </w:rPr>
                </m:ctrlPr>
              </m:sup>
            </m:sSubSup>
            <m:r>
              <m:rPr/>
              <w:rPr>
                <w:rFonts w:ascii="Cambria Math" w:hAnsi="Cambria Math"/>
                <w:kern w:val="2"/>
                <w:szCs w:val="21"/>
              </w:rPr>
              <m:t>−</m:t>
            </m:r>
            <m:sSub>
              <m:sSubPr>
                <m:ctrlPr>
                  <w:rPr>
                    <w:rFonts w:ascii="Cambria Math" w:hAnsi="Cambria Math"/>
                  </w:rPr>
                </m:ctrlPr>
              </m:sSubPr>
              <m:e>
                <m:acc>
                  <m:accPr>
                    <m:chr m:val="̅"/>
                    <m:ctrlPr>
                      <w:rPr>
                        <w:rFonts w:ascii="Cambria Math" w:hAnsi="Cambria Math"/>
                      </w:rPr>
                    </m:ctrlPr>
                  </m:accPr>
                  <m:e>
                    <m:r>
                      <m:rPr/>
                      <w:rPr>
                        <w:rFonts w:ascii="Cambria Math" w:hAnsi="Cambria Math"/>
                      </w:rPr>
                      <m:t>C</m:t>
                    </m:r>
                    <m:ctrlPr>
                      <w:rPr>
                        <w:rFonts w:ascii="Cambria Math" w:hAnsi="Cambria Math"/>
                      </w:rPr>
                    </m:ctrlPr>
                  </m:e>
                </m:acc>
                <m:ctrlPr>
                  <w:rPr>
                    <w:rFonts w:ascii="Cambria Math" w:hAnsi="Cambria Math"/>
                  </w:rPr>
                </m:ctrlPr>
              </m:e>
              <m:sub>
                <m:r>
                  <m:rPr/>
                  <w:rPr>
                    <w:rFonts w:ascii="Cambria Math" w:hAnsi="Cambria Math"/>
                  </w:rPr>
                  <m:t>m</m:t>
                </m:r>
                <m:ctrlPr>
                  <w:rPr>
                    <w:rFonts w:ascii="Cambria Math" w:hAnsi="Cambria Math"/>
                  </w:rPr>
                </m:ctrlPr>
              </m:sub>
            </m:sSub>
            <m:ctrlPr>
              <w:rPr>
                <w:rFonts w:ascii="Cambria Math" w:hAnsi="Cambria Math"/>
                <w:kern w:val="2"/>
                <w:szCs w:val="21"/>
              </w:rPr>
            </m:ctrlPr>
          </m:e>
        </m:d>
        <m:r>
          <m:rPr/>
          <w:rPr>
            <w:rFonts w:ascii="Cambria Math" w:hAnsi="Cambria Math"/>
            <w:kern w:val="2"/>
            <w:szCs w:val="21"/>
          </w:rPr>
          <m:t>&gt;3</m:t>
        </m:r>
        <m:sSub>
          <m:sSubPr>
            <m:ctrlPr>
              <w:rPr>
                <w:rFonts w:ascii="Cambria Math" w:hAnsi="Cambria Math"/>
                <w:kern w:val="2"/>
                <w:szCs w:val="21"/>
              </w:rPr>
            </m:ctrlPr>
          </m:sSubPr>
          <m:e>
            <m:r>
              <m:rPr/>
              <w:rPr>
                <w:rFonts w:ascii="Cambria Math" w:hAnsi="Cambria Math"/>
              </w:rPr>
              <m:t>σ</m:t>
            </m:r>
            <m:ctrlPr>
              <w:rPr>
                <w:rFonts w:ascii="Cambria Math" w:hAnsi="Cambria Math"/>
                <w:kern w:val="2"/>
                <w:szCs w:val="21"/>
              </w:rPr>
            </m:ctrlPr>
          </m:e>
          <m:sub>
            <m:r>
              <m:rPr/>
              <w:rPr>
                <w:rFonts w:ascii="Cambria Math" w:hAnsi="Cambria Math"/>
              </w:rPr>
              <m:t>m</m:t>
            </m:r>
            <m:ctrlPr>
              <w:rPr>
                <w:rFonts w:ascii="Cambria Math" w:hAnsi="Cambria Math"/>
                <w:kern w:val="2"/>
                <w:szCs w:val="21"/>
              </w:rPr>
            </m:ctrlPr>
          </m:sub>
        </m:sSub>
      </m:oMath>
      <w:r>
        <w:rPr>
          <w:rFonts w:hint="eastAsia"/>
        </w:rPr>
        <w:t>，则将该</w:t>
      </w:r>
      <w:r>
        <w:t>时刻数据</w:t>
      </w:r>
      <w:r>
        <w:rPr>
          <w:rFonts w:hint="eastAsia" w:ascii="Times New Roman"/>
          <w:kern w:val="2"/>
          <w:szCs w:val="21"/>
        </w:rPr>
        <w:t>筛分为</w:t>
      </w:r>
      <w:r>
        <w:rPr>
          <w:rFonts w:ascii="Times New Roman"/>
          <w:kern w:val="2"/>
          <w:szCs w:val="21"/>
        </w:rPr>
        <w:t>局地值</w:t>
      </w:r>
      <w:r>
        <w:rPr>
          <w:rFonts w:hint="eastAsia" w:ascii="Times New Roman"/>
          <w:kern w:val="2"/>
          <w:szCs w:val="21"/>
        </w:rPr>
        <w:t>，最终</w:t>
      </w:r>
      <w:r>
        <w:rPr>
          <w:rFonts w:ascii="Times New Roman"/>
          <w:kern w:val="2"/>
          <w:szCs w:val="21"/>
        </w:rPr>
        <w:t>剩余数据则为</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ascii="Times New Roman"/>
          <w:kern w:val="2"/>
          <w:szCs w:val="21"/>
        </w:rPr>
        <w:t>浓度本底值。</w:t>
      </w:r>
    </w:p>
    <w:p w14:paraId="4A15D353">
      <w:pPr>
        <w:pStyle w:val="104"/>
        <w:spacing w:before="312" w:after="312"/>
      </w:pPr>
      <w:bookmarkStart w:id="72" w:name="_Toc130808112"/>
      <w:bookmarkStart w:id="73" w:name="_Toc177025930"/>
      <w:r>
        <w:rPr>
          <w:rFonts w:hint="eastAsia"/>
        </w:rPr>
        <w:t>筛分方法</w:t>
      </w:r>
      <w:bookmarkEnd w:id="72"/>
      <w:r>
        <w:rPr>
          <w:rFonts w:hint="eastAsia"/>
        </w:rPr>
        <w:t>选择</w:t>
      </w:r>
      <w:bookmarkEnd w:id="73"/>
    </w:p>
    <w:p w14:paraId="1D495577">
      <w:pPr>
        <w:pStyle w:val="56"/>
        <w:ind w:firstLine="420"/>
      </w:pPr>
      <w:r>
        <w:rPr>
          <w:rFonts w:hint="eastAsia"/>
        </w:rPr>
        <w:t>优先采用</w:t>
      </w:r>
      <w:r>
        <w:t>综合筛分法</w:t>
      </w:r>
      <w:r>
        <w:rPr>
          <w:rFonts w:hint="eastAsia"/>
        </w:rPr>
        <w:t>，</w:t>
      </w:r>
      <w:r>
        <w:t>若无气象数据，则采用稳健局部回归筛分法。</w:t>
      </w:r>
    </w:p>
    <w:p w14:paraId="5BDA648F">
      <w:pPr>
        <w:pStyle w:val="56"/>
        <w:ind w:firstLine="420"/>
      </w:pPr>
      <w:r>
        <w:rPr>
          <w:rFonts w:hint="eastAsia"/>
        </w:rPr>
        <w:t>采用</w:t>
      </w:r>
      <w:r>
        <w:t>综合筛分法</w:t>
      </w:r>
      <w:r>
        <w:rPr>
          <w:rFonts w:hint="eastAsia"/>
        </w:rPr>
        <w:t>时</w:t>
      </w:r>
      <w:r>
        <w:t>，</w:t>
      </w:r>
      <w:r>
        <w:rPr>
          <w:rFonts w:hint="eastAsia"/>
        </w:rPr>
        <w:t>基于</w:t>
      </w:r>
      <w:r>
        <w:t>所能</w:t>
      </w:r>
      <w:r>
        <w:rPr>
          <w:rFonts w:hint="eastAsia"/>
        </w:rPr>
        <w:t>收</w:t>
      </w:r>
      <w:r>
        <w:t>集到的</w:t>
      </w:r>
      <w:r>
        <w:rPr>
          <w:rFonts w:hint="eastAsia"/>
        </w:rPr>
        <w:t>气象数据种类</w:t>
      </w:r>
      <w:r>
        <w:t>选择</w:t>
      </w:r>
      <w:r>
        <w:rPr>
          <w:rFonts w:hint="eastAsia"/>
        </w:rPr>
        <w:t>大气</w:t>
      </w:r>
      <w:r>
        <w:t>稳定度判定方法</w:t>
      </w:r>
      <w:r>
        <w:rPr>
          <w:rFonts w:hint="eastAsia"/>
        </w:rPr>
        <w:t>，</w:t>
      </w:r>
      <w:r>
        <w:t>具体如下</w:t>
      </w:r>
      <w:r>
        <w:rPr>
          <w:rFonts w:hint="eastAsia"/>
        </w:rPr>
        <w:t>：</w:t>
      </w:r>
    </w:p>
    <w:p w14:paraId="26291C0C">
      <w:pPr>
        <w:pStyle w:val="56"/>
        <w:ind w:firstLine="420"/>
        <w:rPr>
          <w:rFonts w:ascii="Times New Roman"/>
        </w:rPr>
      </w:pPr>
      <w:r>
        <w:rPr>
          <w:rFonts w:ascii="Times New Roman"/>
        </w:rPr>
        <w:t xml:space="preserve">a) </w:t>
      </w:r>
      <w:r>
        <w:rPr>
          <w:rFonts w:hint="eastAsia" w:ascii="Times New Roman"/>
        </w:rPr>
        <w:t>有</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ascii="Times New Roman"/>
        </w:rPr>
        <w:t>浓度观测</w:t>
      </w:r>
      <w:r>
        <w:rPr>
          <w:rFonts w:hint="eastAsia" w:ascii="Times New Roman"/>
        </w:rPr>
        <w:t>数据同期地面风速和风向资料，大气</w:t>
      </w:r>
      <w:r>
        <w:rPr>
          <w:rFonts w:ascii="Times New Roman"/>
        </w:rPr>
        <w:t>稳定度判定采用</w:t>
      </w:r>
      <w:r>
        <w:rPr>
          <w:rFonts w:hint="eastAsia" w:ascii="Times New Roman"/>
        </w:rPr>
        <w:t>混合时段判定；</w:t>
      </w:r>
    </w:p>
    <w:p w14:paraId="4D95FFD0">
      <w:pPr>
        <w:pStyle w:val="56"/>
        <w:ind w:firstLine="420"/>
        <w:rPr>
          <w:rFonts w:ascii="Times New Roman"/>
        </w:rPr>
      </w:pPr>
      <w:r>
        <w:rPr>
          <w:rFonts w:ascii="Times New Roman"/>
        </w:rPr>
        <w:t>b</w:t>
      </w:r>
      <w:r>
        <w:rPr>
          <w:rFonts w:hint="eastAsia" w:ascii="Times New Roman"/>
        </w:rPr>
        <w:t>) 有</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rPr>
          <w:rFonts w:ascii="Times New Roman"/>
        </w:rPr>
        <w:t>浓度观测</w:t>
      </w:r>
      <w:r>
        <w:rPr>
          <w:rFonts w:hint="eastAsia" w:ascii="Times New Roman"/>
        </w:rPr>
        <w:t>数据同期地面风速、风向、</w:t>
      </w:r>
      <w:r>
        <w:rPr>
          <w:rFonts w:ascii="Times New Roman"/>
        </w:rPr>
        <w:t>云量</w:t>
      </w:r>
      <w:r>
        <w:rPr>
          <w:rFonts w:hint="eastAsia" w:ascii="Times New Roman"/>
        </w:rPr>
        <w:t>资料，大气</w:t>
      </w:r>
      <w:r>
        <w:rPr>
          <w:rFonts w:ascii="Times New Roman"/>
        </w:rPr>
        <w:t>稳定度判定采用</w:t>
      </w:r>
      <w:r>
        <w:rPr>
          <w:rFonts w:hint="eastAsia"/>
        </w:rPr>
        <w:t>帕斯奎尔-特纳尔</w:t>
      </w:r>
      <w:r>
        <w:t>稳定度</w:t>
      </w:r>
      <w:r>
        <w:rPr>
          <w:rFonts w:hint="eastAsia" w:ascii="Times New Roman"/>
        </w:rPr>
        <w:t>判定；</w:t>
      </w:r>
    </w:p>
    <w:p w14:paraId="31B00F89">
      <w:pPr>
        <w:pStyle w:val="56"/>
        <w:ind w:firstLine="420"/>
        <w:rPr>
          <w:rFonts w:ascii="Times New Roman"/>
        </w:rPr>
      </w:pPr>
      <w:r>
        <w:rPr>
          <w:rFonts w:ascii="Times New Roman"/>
        </w:rPr>
        <w:t>c</w:t>
      </w:r>
      <w:r>
        <w:rPr>
          <w:rFonts w:hint="eastAsia" w:ascii="Times New Roman"/>
        </w:rPr>
        <w:t>) 有</w:t>
      </w:r>
      <w:r>
        <w:rPr>
          <w:rFonts w:ascii="Times New Roman"/>
        </w:rPr>
        <w:t>CO</w:t>
      </w:r>
      <w:r>
        <w:rPr>
          <w:rFonts w:ascii="Times New Roman"/>
          <w:vertAlign w:val="subscript"/>
        </w:rPr>
        <w:t>2</w:t>
      </w:r>
      <w:r>
        <w:rPr>
          <w:rFonts w:hint="eastAsia" w:ascii="Times New Roman"/>
        </w:rPr>
        <w:t>或</w:t>
      </w:r>
      <w:r>
        <w:rPr>
          <w:rFonts w:ascii="Times New Roman"/>
        </w:rPr>
        <w:t>CH</w:t>
      </w:r>
      <w:r>
        <w:rPr>
          <w:rFonts w:ascii="Times New Roman"/>
          <w:vertAlign w:val="subscript"/>
        </w:rPr>
        <w:t>4</w:t>
      </w:r>
      <w:r>
        <w:t>浓度观测</w:t>
      </w:r>
      <w:r>
        <w:rPr>
          <w:rFonts w:hint="eastAsia"/>
        </w:rPr>
        <w:t>数据</w:t>
      </w:r>
      <w:r>
        <w:t>同</w:t>
      </w:r>
      <w:r>
        <w:rPr>
          <w:rFonts w:hint="eastAsia"/>
        </w:rPr>
        <w:t>期地面</w:t>
      </w:r>
      <w:r>
        <w:rPr>
          <w:rFonts w:hint="eastAsia" w:ascii="Times New Roman"/>
        </w:rPr>
        <w:t>风速、风向、</w:t>
      </w:r>
      <w:r>
        <w:t>气温、气压</w:t>
      </w:r>
      <w:r>
        <w:rPr>
          <w:rFonts w:hint="eastAsia" w:ascii="Times New Roman"/>
        </w:rPr>
        <w:t>资料</w:t>
      </w:r>
      <w:r>
        <w:rPr>
          <w:rFonts w:hint="eastAsia"/>
        </w:rPr>
        <w:t>，同期大气</w:t>
      </w:r>
      <w:r>
        <w:t>边界层以内风速</w:t>
      </w:r>
      <w:r>
        <w:rPr>
          <w:rFonts w:hint="eastAsia"/>
        </w:rPr>
        <w:t>、</w:t>
      </w:r>
      <w:r>
        <w:t>气温、气压</w:t>
      </w:r>
      <w:r>
        <w:rPr>
          <w:rFonts w:hint="eastAsia"/>
        </w:rPr>
        <w:t>资料，大气稳定度</w:t>
      </w:r>
      <w:r>
        <w:t>判定采用</w:t>
      </w:r>
      <w:r>
        <w:rPr>
          <w:rFonts w:hint="eastAsia"/>
        </w:rPr>
        <w:t>梯度理查森数判定</w:t>
      </w:r>
      <w:r>
        <w:t>。</w:t>
      </w:r>
    </w:p>
    <w:p w14:paraId="04025456">
      <w:pPr>
        <w:pStyle w:val="104"/>
        <w:spacing w:before="312" w:after="312"/>
      </w:pPr>
      <w:bookmarkStart w:id="74" w:name="_Toc130808113"/>
      <w:bookmarkStart w:id="75" w:name="_Toc177025931"/>
      <w:r>
        <w:rPr>
          <w:rFonts w:hint="eastAsia"/>
        </w:rPr>
        <w:t>筛分</w:t>
      </w:r>
      <w:r>
        <w:t>流程</w:t>
      </w:r>
      <w:bookmarkEnd w:id="74"/>
      <w:bookmarkEnd w:id="75"/>
    </w:p>
    <w:p w14:paraId="2B8E9D44">
      <w:pPr>
        <w:pStyle w:val="56"/>
        <w:ind w:firstLine="420"/>
      </w:pPr>
      <w:r>
        <w:rPr>
          <w:rFonts w:hint="eastAsia"/>
        </w:rPr>
        <w:t>按照附录</w:t>
      </w:r>
      <w:r>
        <w:rPr>
          <w:rFonts w:ascii="Times New Roman"/>
        </w:rPr>
        <w:t>A中图A.1</w:t>
      </w:r>
      <w:r>
        <w:rPr>
          <w:rFonts w:hint="eastAsia"/>
        </w:rPr>
        <w:t>所示的</w:t>
      </w:r>
      <w:r>
        <w:t>流程进行资料收集、</w:t>
      </w:r>
      <w:r>
        <w:rPr>
          <w:rFonts w:hint="eastAsia"/>
        </w:rPr>
        <w:t>数据</w:t>
      </w:r>
      <w:r>
        <w:t>处理、本底筛分、筛分</w:t>
      </w:r>
      <w:r>
        <w:rPr>
          <w:rFonts w:hint="eastAsia"/>
        </w:rPr>
        <w:t>选择</w:t>
      </w:r>
      <w:r>
        <w:t>。</w:t>
      </w:r>
    </w:p>
    <w:p w14:paraId="24BC7D8A">
      <w:pPr>
        <w:pStyle w:val="56"/>
        <w:ind w:firstLine="420"/>
      </w:pPr>
    </w:p>
    <w:p w14:paraId="5564C668">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8"/>
    <w:p w14:paraId="2DF47437">
      <w:pPr>
        <w:pStyle w:val="198"/>
        <w:rPr>
          <w:vanish w:val="0"/>
        </w:rPr>
      </w:pPr>
      <w:bookmarkStart w:id="76" w:name="BookMark5"/>
    </w:p>
    <w:p w14:paraId="161B3754">
      <w:pPr>
        <w:pStyle w:val="199"/>
        <w:rPr>
          <w:vanish w:val="0"/>
        </w:rPr>
      </w:pPr>
    </w:p>
    <w:p w14:paraId="2D2640B9">
      <w:pPr>
        <w:pStyle w:val="76"/>
        <w:spacing w:after="156"/>
      </w:pPr>
      <w:r>
        <w:br w:type="textWrapping"/>
      </w:r>
      <w:bookmarkStart w:id="77" w:name="_Toc177025932"/>
      <w:bookmarkStart w:id="78" w:name="_Toc130808116"/>
      <w:r>
        <w:rPr>
          <w:rFonts w:hint="eastAsia"/>
        </w:rPr>
        <w:t>（资料性）</w:t>
      </w:r>
      <w:r>
        <w:br w:type="textWrapping"/>
      </w:r>
      <w:r>
        <w:rPr>
          <w:rFonts w:hint="eastAsia"/>
        </w:rPr>
        <w:t>本底筛分流程</w:t>
      </w:r>
      <w:bookmarkEnd w:id="77"/>
      <w:bookmarkEnd w:id="78"/>
    </w:p>
    <w:p w14:paraId="2F8DBD51">
      <w:pPr>
        <w:pStyle w:val="56"/>
        <w:ind w:firstLine="0" w:firstLineChars="0"/>
        <w:jc w:val="center"/>
      </w:pPr>
      <w:r>
        <w:drawing>
          <wp:inline distT="0" distB="0" distL="0" distR="0">
            <wp:extent cx="5939790" cy="4143375"/>
            <wp:effectExtent l="0" t="0" r="381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9790" cy="4144009"/>
                    </a:xfrm>
                    <a:prstGeom prst="rect">
                      <a:avLst/>
                    </a:prstGeom>
                    <a:noFill/>
                    <a:ln>
                      <a:noFill/>
                    </a:ln>
                  </pic:spPr>
                </pic:pic>
              </a:graphicData>
            </a:graphic>
          </wp:inline>
        </w:drawing>
      </w:r>
    </w:p>
    <w:p w14:paraId="6BA4AA89">
      <w:pPr>
        <w:pStyle w:val="83"/>
        <w:spacing w:before="156" w:after="156"/>
      </w:pPr>
      <w:r>
        <w:rPr>
          <w:rFonts w:hint="eastAsia"/>
        </w:rPr>
        <w:t>本底筛分流程图</w:t>
      </w:r>
    </w:p>
    <w:p w14:paraId="272F2901">
      <w:pPr>
        <w:pStyle w:val="56"/>
        <w:ind w:firstLine="420"/>
      </w:pPr>
    </w:p>
    <w:p w14:paraId="5744E01B">
      <w:pPr>
        <w:pStyle w:val="56"/>
        <w:ind w:firstLine="420"/>
      </w:pPr>
    </w:p>
    <w:p w14:paraId="7459B45C">
      <w:pPr>
        <w:pStyle w:val="56"/>
        <w:ind w:firstLine="420"/>
        <w:sectPr>
          <w:pgSz w:w="11906" w:h="16838"/>
          <w:pgMar w:top="1928" w:right="1134" w:bottom="1134" w:left="1134" w:header="1418" w:footer="1134" w:gutter="284"/>
          <w:cols w:space="425" w:num="1"/>
          <w:formProt w:val="0"/>
          <w:docGrid w:type="lines" w:linePitch="312" w:charSpace="0"/>
        </w:sectPr>
      </w:pPr>
    </w:p>
    <w:p w14:paraId="733BC622">
      <w:pPr>
        <w:pStyle w:val="198"/>
        <w:rPr>
          <w:vanish w:val="0"/>
        </w:rPr>
      </w:pPr>
    </w:p>
    <w:p w14:paraId="572D07D4">
      <w:pPr>
        <w:pStyle w:val="199"/>
        <w:rPr>
          <w:vanish w:val="0"/>
        </w:rPr>
      </w:pPr>
    </w:p>
    <w:p w14:paraId="7592250E">
      <w:pPr>
        <w:pStyle w:val="76"/>
        <w:spacing w:after="156"/>
      </w:pPr>
      <w:r>
        <w:br w:type="textWrapping"/>
      </w:r>
      <w:bookmarkStart w:id="79" w:name="_Toc130808117"/>
      <w:bookmarkStart w:id="80" w:name="_Toc177025933"/>
      <w:r>
        <w:rPr>
          <w:rFonts w:hint="eastAsia"/>
        </w:rPr>
        <w:t>（资料性）</w:t>
      </w:r>
      <w:r>
        <w:br w:type="textWrapping"/>
      </w:r>
      <w:r>
        <w:rPr>
          <w:rFonts w:hint="eastAsia"/>
        </w:rPr>
        <w:t>观测站点信息</w:t>
      </w:r>
      <w:bookmarkEnd w:id="79"/>
      <w:bookmarkEnd w:id="80"/>
    </w:p>
    <w:p w14:paraId="02A49083">
      <w:pPr>
        <w:pStyle w:val="77"/>
        <w:spacing w:before="156" w:after="156"/>
        <w:ind w:left="0"/>
      </w:pPr>
      <w:r>
        <w:rPr>
          <w:rFonts w:hint="eastAsia"/>
        </w:rPr>
        <w:t>温室气体观测站点信息表</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0"/>
        <w:gridCol w:w="2161"/>
        <w:gridCol w:w="2161"/>
        <w:gridCol w:w="2161"/>
      </w:tblGrid>
      <w:tr w14:paraId="20AB19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top w:val="single" w:color="auto" w:sz="8" w:space="0"/>
              <w:bottom w:val="single" w:color="auto" w:sz="8" w:space="0"/>
            </w:tcBorders>
            <w:shd w:val="clear" w:color="auto" w:fill="auto"/>
            <w:vAlign w:val="center"/>
          </w:tcPr>
          <w:p w14:paraId="7E489FF8">
            <w:pPr>
              <w:pStyle w:val="230"/>
              <w:ind w:firstLine="0" w:firstLineChars="0"/>
              <w:rPr>
                <w:sz w:val="18"/>
              </w:rPr>
            </w:pPr>
            <w:r>
              <w:rPr>
                <w:rFonts w:hint="eastAsia"/>
                <w:sz w:val="18"/>
              </w:rPr>
              <w:t>站名</w:t>
            </w:r>
          </w:p>
        </w:tc>
        <w:tc>
          <w:tcPr>
            <w:tcW w:w="2161" w:type="dxa"/>
            <w:tcBorders>
              <w:top w:val="single" w:color="auto" w:sz="8" w:space="0"/>
              <w:bottom w:val="single" w:color="auto" w:sz="8" w:space="0"/>
            </w:tcBorders>
            <w:shd w:val="clear" w:color="auto" w:fill="auto"/>
            <w:vAlign w:val="center"/>
          </w:tcPr>
          <w:p w14:paraId="432DD7A5">
            <w:pPr>
              <w:pStyle w:val="230"/>
              <w:ind w:firstLine="0" w:firstLineChars="0"/>
              <w:rPr>
                <w:sz w:val="18"/>
              </w:rPr>
            </w:pPr>
          </w:p>
        </w:tc>
        <w:tc>
          <w:tcPr>
            <w:tcW w:w="2160" w:type="dxa"/>
            <w:tcBorders>
              <w:top w:val="single" w:color="auto" w:sz="8" w:space="0"/>
              <w:bottom w:val="single" w:color="auto" w:sz="8" w:space="0"/>
            </w:tcBorders>
            <w:shd w:val="clear" w:color="auto" w:fill="auto"/>
            <w:vAlign w:val="center"/>
          </w:tcPr>
          <w:p w14:paraId="50B6AABC">
            <w:pPr>
              <w:pStyle w:val="230"/>
              <w:ind w:firstLine="0" w:firstLineChars="0"/>
              <w:rPr>
                <w:sz w:val="18"/>
              </w:rPr>
            </w:pPr>
            <w:r>
              <w:rPr>
                <w:rFonts w:hint="eastAsia"/>
                <w:sz w:val="18"/>
              </w:rPr>
              <w:t>地址</w:t>
            </w:r>
          </w:p>
        </w:tc>
        <w:tc>
          <w:tcPr>
            <w:tcW w:w="2161" w:type="dxa"/>
            <w:tcBorders>
              <w:top w:val="single" w:color="auto" w:sz="8" w:space="0"/>
              <w:bottom w:val="single" w:color="auto" w:sz="8" w:space="0"/>
            </w:tcBorders>
            <w:shd w:val="clear" w:color="auto" w:fill="auto"/>
            <w:vAlign w:val="center"/>
          </w:tcPr>
          <w:p w14:paraId="0AC0C751">
            <w:pPr>
              <w:pStyle w:val="230"/>
              <w:ind w:firstLine="0" w:firstLineChars="0"/>
              <w:rPr>
                <w:sz w:val="18"/>
              </w:rPr>
            </w:pPr>
          </w:p>
        </w:tc>
      </w:tr>
      <w:tr w14:paraId="6F8DC1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top w:val="single" w:color="auto" w:sz="8" w:space="0"/>
            </w:tcBorders>
            <w:shd w:val="clear" w:color="auto" w:fill="auto"/>
            <w:vAlign w:val="center"/>
          </w:tcPr>
          <w:p w14:paraId="5F09FA8E">
            <w:pPr>
              <w:pStyle w:val="230"/>
              <w:ind w:firstLine="0" w:firstLineChars="0"/>
              <w:rPr>
                <w:sz w:val="18"/>
              </w:rPr>
            </w:pPr>
            <w:r>
              <w:rPr>
                <w:rFonts w:hint="eastAsia"/>
                <w:sz w:val="18"/>
              </w:rPr>
              <w:t>经度（度）</w:t>
            </w:r>
          </w:p>
        </w:tc>
        <w:tc>
          <w:tcPr>
            <w:tcW w:w="2161" w:type="dxa"/>
            <w:tcBorders>
              <w:top w:val="single" w:color="auto" w:sz="8" w:space="0"/>
            </w:tcBorders>
            <w:shd w:val="clear" w:color="auto" w:fill="auto"/>
            <w:vAlign w:val="center"/>
          </w:tcPr>
          <w:p w14:paraId="1CDE0A0E">
            <w:pPr>
              <w:pStyle w:val="230"/>
              <w:ind w:firstLine="0" w:firstLineChars="0"/>
              <w:rPr>
                <w:sz w:val="18"/>
              </w:rPr>
            </w:pPr>
          </w:p>
        </w:tc>
        <w:tc>
          <w:tcPr>
            <w:tcW w:w="2160" w:type="dxa"/>
            <w:tcBorders>
              <w:top w:val="single" w:color="auto" w:sz="8" w:space="0"/>
            </w:tcBorders>
            <w:shd w:val="clear" w:color="auto" w:fill="auto"/>
            <w:vAlign w:val="center"/>
          </w:tcPr>
          <w:p w14:paraId="0D348737">
            <w:pPr>
              <w:pStyle w:val="230"/>
              <w:ind w:firstLine="0" w:firstLineChars="0"/>
              <w:rPr>
                <w:sz w:val="18"/>
              </w:rPr>
            </w:pPr>
            <w:r>
              <w:rPr>
                <w:rFonts w:hint="eastAsia"/>
                <w:sz w:val="18"/>
              </w:rPr>
              <w:t>纬度（度）</w:t>
            </w:r>
          </w:p>
        </w:tc>
        <w:tc>
          <w:tcPr>
            <w:tcW w:w="2161" w:type="dxa"/>
            <w:tcBorders>
              <w:top w:val="single" w:color="auto" w:sz="8" w:space="0"/>
            </w:tcBorders>
            <w:shd w:val="clear" w:color="auto" w:fill="auto"/>
            <w:vAlign w:val="center"/>
          </w:tcPr>
          <w:p w14:paraId="33341170">
            <w:pPr>
              <w:pStyle w:val="230"/>
              <w:ind w:firstLine="0" w:firstLineChars="0"/>
              <w:rPr>
                <w:sz w:val="18"/>
              </w:rPr>
            </w:pPr>
          </w:p>
        </w:tc>
      </w:tr>
      <w:tr w14:paraId="6FCD3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2C56F720">
            <w:pPr>
              <w:pStyle w:val="230"/>
              <w:ind w:firstLine="0" w:firstLineChars="0"/>
              <w:rPr>
                <w:sz w:val="18"/>
              </w:rPr>
            </w:pPr>
            <w:r>
              <w:rPr>
                <w:rFonts w:hint="eastAsia"/>
                <w:sz w:val="18"/>
              </w:rPr>
              <w:t>海拔高度（米）</w:t>
            </w:r>
          </w:p>
        </w:tc>
        <w:tc>
          <w:tcPr>
            <w:tcW w:w="2161" w:type="dxa"/>
            <w:shd w:val="clear" w:color="auto" w:fill="auto"/>
            <w:vAlign w:val="center"/>
          </w:tcPr>
          <w:p w14:paraId="1F534ABD">
            <w:pPr>
              <w:pStyle w:val="230"/>
              <w:ind w:firstLine="0" w:firstLineChars="0"/>
              <w:rPr>
                <w:sz w:val="18"/>
              </w:rPr>
            </w:pPr>
          </w:p>
        </w:tc>
        <w:tc>
          <w:tcPr>
            <w:tcW w:w="2160" w:type="dxa"/>
            <w:shd w:val="clear" w:color="auto" w:fill="auto"/>
            <w:vAlign w:val="center"/>
          </w:tcPr>
          <w:p w14:paraId="5966EC68">
            <w:pPr>
              <w:pStyle w:val="230"/>
              <w:ind w:firstLine="0" w:firstLineChars="0"/>
              <w:rPr>
                <w:sz w:val="18"/>
              </w:rPr>
            </w:pPr>
            <w:r>
              <w:rPr>
                <w:rFonts w:hint="eastAsia"/>
                <w:sz w:val="18"/>
              </w:rPr>
              <w:t>填写日期</w:t>
            </w:r>
          </w:p>
        </w:tc>
        <w:tc>
          <w:tcPr>
            <w:tcW w:w="2161" w:type="dxa"/>
            <w:shd w:val="clear" w:color="auto" w:fill="auto"/>
            <w:vAlign w:val="center"/>
          </w:tcPr>
          <w:p w14:paraId="5C883104">
            <w:pPr>
              <w:pStyle w:val="230"/>
              <w:ind w:firstLine="0" w:firstLineChars="0"/>
              <w:rPr>
                <w:sz w:val="18"/>
              </w:rPr>
            </w:pPr>
          </w:p>
        </w:tc>
      </w:tr>
      <w:tr w14:paraId="7DAC56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2F61F7D8">
            <w:pPr>
              <w:pStyle w:val="230"/>
              <w:ind w:firstLine="0" w:firstLineChars="0"/>
              <w:rPr>
                <w:sz w:val="18"/>
              </w:rPr>
            </w:pPr>
            <w:r>
              <w:rPr>
                <w:rFonts w:hint="eastAsia"/>
                <w:sz w:val="18"/>
              </w:rPr>
              <w:t>观测站下垫面类型</w:t>
            </w:r>
          </w:p>
        </w:tc>
        <w:tc>
          <w:tcPr>
            <w:tcW w:w="2160" w:type="dxa"/>
            <w:shd w:val="clear" w:color="auto" w:fill="auto"/>
            <w:vAlign w:val="center"/>
          </w:tcPr>
          <w:p w14:paraId="4BA21494">
            <w:pPr>
              <w:pStyle w:val="230"/>
              <w:ind w:firstLine="0" w:firstLineChars="0"/>
              <w:rPr>
                <w:sz w:val="18"/>
              </w:rPr>
            </w:pPr>
          </w:p>
        </w:tc>
        <w:tc>
          <w:tcPr>
            <w:tcW w:w="2161" w:type="dxa"/>
            <w:shd w:val="clear" w:color="auto" w:fill="auto"/>
            <w:vAlign w:val="center"/>
          </w:tcPr>
          <w:p w14:paraId="23FC4ED4">
            <w:pPr>
              <w:pStyle w:val="230"/>
              <w:ind w:firstLine="0" w:firstLineChars="0"/>
              <w:rPr>
                <w:sz w:val="18"/>
              </w:rPr>
            </w:pPr>
            <w:r>
              <w:rPr>
                <w:sz w:val="18"/>
              </w:rPr>
              <w:t>进气口高度（</w:t>
            </w:r>
            <w:r>
              <w:rPr>
                <w:rFonts w:hint="eastAsia"/>
                <w:sz w:val="18"/>
              </w:rPr>
              <w:t>米</w:t>
            </w:r>
            <w:r>
              <w:rPr>
                <w:sz w:val="18"/>
              </w:rPr>
              <w:t>）</w:t>
            </w:r>
          </w:p>
        </w:tc>
        <w:tc>
          <w:tcPr>
            <w:tcW w:w="2161" w:type="dxa"/>
            <w:shd w:val="clear" w:color="auto" w:fill="auto"/>
            <w:vAlign w:val="center"/>
          </w:tcPr>
          <w:p w14:paraId="5C6DDC61">
            <w:pPr>
              <w:pStyle w:val="230"/>
              <w:ind w:firstLine="0" w:firstLineChars="0"/>
              <w:rPr>
                <w:sz w:val="18"/>
              </w:rPr>
            </w:pPr>
          </w:p>
        </w:tc>
      </w:tr>
      <w:tr w14:paraId="601E2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5790565B">
            <w:pPr>
              <w:pStyle w:val="230"/>
              <w:ind w:firstLine="0" w:firstLineChars="0"/>
              <w:rPr>
                <w:sz w:val="18"/>
              </w:rPr>
            </w:pPr>
            <w:r>
              <w:rPr>
                <w:rFonts w:hint="eastAsia"/>
                <w:sz w:val="18"/>
              </w:rPr>
              <w:t>观测场周围环境</w:t>
            </w:r>
          </w:p>
        </w:tc>
        <w:tc>
          <w:tcPr>
            <w:tcW w:w="6482" w:type="dxa"/>
            <w:gridSpan w:val="3"/>
            <w:shd w:val="clear" w:color="auto" w:fill="auto"/>
            <w:vAlign w:val="center"/>
          </w:tcPr>
          <w:p w14:paraId="574DD62C">
            <w:pPr>
              <w:pStyle w:val="230"/>
              <w:ind w:firstLine="0" w:firstLineChars="0"/>
              <w:rPr>
                <w:sz w:val="18"/>
              </w:rPr>
            </w:pPr>
          </w:p>
        </w:tc>
      </w:tr>
      <w:tr w14:paraId="48C99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642" w:type="dxa"/>
            <w:gridSpan w:val="4"/>
            <w:shd w:val="clear" w:color="auto" w:fill="auto"/>
            <w:vAlign w:val="center"/>
          </w:tcPr>
          <w:p w14:paraId="0090A9AA">
            <w:pPr>
              <w:pStyle w:val="230"/>
              <w:ind w:firstLine="0" w:firstLineChars="0"/>
              <w:jc w:val="center"/>
              <w:rPr>
                <w:sz w:val="18"/>
              </w:rPr>
            </w:pPr>
            <w:r>
              <w:rPr>
                <w:rFonts w:hint="eastAsia"/>
                <w:sz w:val="18"/>
              </w:rPr>
              <w:t>观测站点十六方位照片</w:t>
            </w:r>
          </w:p>
        </w:tc>
      </w:tr>
      <w:tr w14:paraId="4A8E7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796EA8C9">
            <w:pPr>
              <w:pStyle w:val="230"/>
              <w:ind w:firstLine="0" w:firstLineChars="0"/>
              <w:jc w:val="center"/>
              <w:rPr>
                <w:sz w:val="18"/>
              </w:rPr>
            </w:pPr>
            <w:r>
              <w:rPr>
                <w:rFonts w:hint="eastAsia"/>
                <w:sz w:val="18"/>
              </w:rPr>
              <w:t>北</w:t>
            </w:r>
          </w:p>
        </w:tc>
        <w:tc>
          <w:tcPr>
            <w:tcW w:w="2161" w:type="dxa"/>
            <w:shd w:val="clear" w:color="auto" w:fill="auto"/>
            <w:vAlign w:val="center"/>
          </w:tcPr>
          <w:p w14:paraId="254E1158">
            <w:pPr>
              <w:pStyle w:val="230"/>
              <w:ind w:firstLine="0" w:firstLineChars="0"/>
              <w:jc w:val="center"/>
              <w:rPr>
                <w:sz w:val="18"/>
              </w:rPr>
            </w:pPr>
            <w:r>
              <w:rPr>
                <w:rFonts w:hint="eastAsia"/>
                <w:sz w:val="18"/>
              </w:rPr>
              <w:t>北东北</w:t>
            </w:r>
          </w:p>
        </w:tc>
        <w:tc>
          <w:tcPr>
            <w:tcW w:w="2160" w:type="dxa"/>
            <w:shd w:val="clear" w:color="auto" w:fill="auto"/>
            <w:vAlign w:val="center"/>
          </w:tcPr>
          <w:p w14:paraId="3EFC2D38">
            <w:pPr>
              <w:pStyle w:val="230"/>
              <w:ind w:firstLine="0" w:firstLineChars="0"/>
              <w:jc w:val="center"/>
              <w:rPr>
                <w:sz w:val="18"/>
              </w:rPr>
            </w:pPr>
            <w:r>
              <w:rPr>
                <w:rFonts w:hint="eastAsia"/>
                <w:sz w:val="18"/>
              </w:rPr>
              <w:t>东北</w:t>
            </w:r>
          </w:p>
        </w:tc>
        <w:tc>
          <w:tcPr>
            <w:tcW w:w="2161" w:type="dxa"/>
            <w:shd w:val="clear" w:color="auto" w:fill="auto"/>
            <w:vAlign w:val="center"/>
          </w:tcPr>
          <w:p w14:paraId="6B5F856C">
            <w:pPr>
              <w:pStyle w:val="230"/>
              <w:ind w:firstLine="0" w:firstLineChars="0"/>
              <w:jc w:val="center"/>
              <w:rPr>
                <w:sz w:val="18"/>
              </w:rPr>
            </w:pPr>
            <w:r>
              <w:rPr>
                <w:rFonts w:hint="eastAsia"/>
                <w:sz w:val="18"/>
              </w:rPr>
              <w:t>东东北</w:t>
            </w:r>
          </w:p>
        </w:tc>
      </w:tr>
      <w:tr w14:paraId="66D4E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5660EBC3">
            <w:pPr>
              <w:pStyle w:val="230"/>
              <w:ind w:firstLine="0" w:firstLineChars="0"/>
              <w:jc w:val="center"/>
              <w:rPr>
                <w:sz w:val="18"/>
              </w:rPr>
            </w:pPr>
          </w:p>
        </w:tc>
        <w:tc>
          <w:tcPr>
            <w:tcW w:w="2161" w:type="dxa"/>
            <w:shd w:val="clear" w:color="auto" w:fill="auto"/>
            <w:vAlign w:val="center"/>
          </w:tcPr>
          <w:p w14:paraId="5F418755">
            <w:pPr>
              <w:pStyle w:val="230"/>
              <w:ind w:firstLine="0" w:firstLineChars="0"/>
              <w:jc w:val="center"/>
              <w:rPr>
                <w:sz w:val="18"/>
              </w:rPr>
            </w:pPr>
          </w:p>
        </w:tc>
        <w:tc>
          <w:tcPr>
            <w:tcW w:w="2160" w:type="dxa"/>
            <w:shd w:val="clear" w:color="auto" w:fill="auto"/>
            <w:vAlign w:val="center"/>
          </w:tcPr>
          <w:p w14:paraId="6FF1AC81">
            <w:pPr>
              <w:pStyle w:val="230"/>
              <w:ind w:firstLine="0" w:firstLineChars="0"/>
              <w:jc w:val="center"/>
              <w:rPr>
                <w:sz w:val="18"/>
              </w:rPr>
            </w:pPr>
          </w:p>
        </w:tc>
        <w:tc>
          <w:tcPr>
            <w:tcW w:w="2161" w:type="dxa"/>
            <w:shd w:val="clear" w:color="auto" w:fill="auto"/>
            <w:vAlign w:val="center"/>
          </w:tcPr>
          <w:p w14:paraId="2573CEE5">
            <w:pPr>
              <w:pStyle w:val="230"/>
              <w:ind w:firstLine="0" w:firstLineChars="0"/>
              <w:jc w:val="center"/>
              <w:rPr>
                <w:sz w:val="18"/>
              </w:rPr>
            </w:pPr>
          </w:p>
        </w:tc>
      </w:tr>
      <w:tr w14:paraId="37480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11D80123">
            <w:pPr>
              <w:pStyle w:val="230"/>
              <w:ind w:firstLine="0" w:firstLineChars="0"/>
              <w:jc w:val="center"/>
              <w:rPr>
                <w:sz w:val="18"/>
              </w:rPr>
            </w:pPr>
            <w:r>
              <w:rPr>
                <w:rFonts w:hint="eastAsia"/>
                <w:sz w:val="18"/>
              </w:rPr>
              <w:t>东</w:t>
            </w:r>
          </w:p>
        </w:tc>
        <w:tc>
          <w:tcPr>
            <w:tcW w:w="2161" w:type="dxa"/>
            <w:shd w:val="clear" w:color="auto" w:fill="auto"/>
            <w:vAlign w:val="center"/>
          </w:tcPr>
          <w:p w14:paraId="26B056D6">
            <w:pPr>
              <w:pStyle w:val="230"/>
              <w:ind w:firstLine="0" w:firstLineChars="0"/>
              <w:jc w:val="center"/>
              <w:rPr>
                <w:sz w:val="18"/>
              </w:rPr>
            </w:pPr>
            <w:r>
              <w:rPr>
                <w:rFonts w:hint="eastAsia"/>
                <w:sz w:val="18"/>
              </w:rPr>
              <w:t>东东南</w:t>
            </w:r>
          </w:p>
        </w:tc>
        <w:tc>
          <w:tcPr>
            <w:tcW w:w="2160" w:type="dxa"/>
            <w:shd w:val="clear" w:color="auto" w:fill="auto"/>
            <w:vAlign w:val="center"/>
          </w:tcPr>
          <w:p w14:paraId="56000F48">
            <w:pPr>
              <w:pStyle w:val="230"/>
              <w:ind w:firstLine="0" w:firstLineChars="0"/>
              <w:jc w:val="center"/>
              <w:rPr>
                <w:sz w:val="18"/>
              </w:rPr>
            </w:pPr>
            <w:r>
              <w:rPr>
                <w:rFonts w:hint="eastAsia"/>
                <w:sz w:val="18"/>
              </w:rPr>
              <w:t>东南</w:t>
            </w:r>
          </w:p>
        </w:tc>
        <w:tc>
          <w:tcPr>
            <w:tcW w:w="2161" w:type="dxa"/>
            <w:shd w:val="clear" w:color="auto" w:fill="auto"/>
            <w:vAlign w:val="center"/>
          </w:tcPr>
          <w:p w14:paraId="5B571831">
            <w:pPr>
              <w:pStyle w:val="230"/>
              <w:ind w:firstLine="0" w:firstLineChars="0"/>
              <w:jc w:val="center"/>
              <w:rPr>
                <w:sz w:val="18"/>
              </w:rPr>
            </w:pPr>
            <w:r>
              <w:rPr>
                <w:rFonts w:hint="eastAsia"/>
                <w:sz w:val="18"/>
              </w:rPr>
              <w:t>南东南</w:t>
            </w:r>
          </w:p>
        </w:tc>
      </w:tr>
      <w:tr w14:paraId="31CA79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60D77C56">
            <w:pPr>
              <w:pStyle w:val="230"/>
              <w:ind w:firstLine="0" w:firstLineChars="0"/>
              <w:jc w:val="center"/>
              <w:rPr>
                <w:sz w:val="18"/>
              </w:rPr>
            </w:pPr>
          </w:p>
        </w:tc>
        <w:tc>
          <w:tcPr>
            <w:tcW w:w="2161" w:type="dxa"/>
            <w:shd w:val="clear" w:color="auto" w:fill="auto"/>
            <w:vAlign w:val="center"/>
          </w:tcPr>
          <w:p w14:paraId="45C9E9D3">
            <w:pPr>
              <w:pStyle w:val="230"/>
              <w:ind w:firstLine="0" w:firstLineChars="0"/>
              <w:jc w:val="center"/>
              <w:rPr>
                <w:sz w:val="18"/>
              </w:rPr>
            </w:pPr>
          </w:p>
        </w:tc>
        <w:tc>
          <w:tcPr>
            <w:tcW w:w="2160" w:type="dxa"/>
            <w:shd w:val="clear" w:color="auto" w:fill="auto"/>
            <w:vAlign w:val="center"/>
          </w:tcPr>
          <w:p w14:paraId="6E1C23C8">
            <w:pPr>
              <w:pStyle w:val="230"/>
              <w:ind w:firstLine="0" w:firstLineChars="0"/>
              <w:jc w:val="center"/>
              <w:rPr>
                <w:sz w:val="18"/>
              </w:rPr>
            </w:pPr>
          </w:p>
        </w:tc>
        <w:tc>
          <w:tcPr>
            <w:tcW w:w="2161" w:type="dxa"/>
            <w:shd w:val="clear" w:color="auto" w:fill="auto"/>
            <w:vAlign w:val="center"/>
          </w:tcPr>
          <w:p w14:paraId="4895B195">
            <w:pPr>
              <w:pStyle w:val="230"/>
              <w:ind w:firstLine="0" w:firstLineChars="0"/>
              <w:jc w:val="center"/>
              <w:rPr>
                <w:sz w:val="18"/>
              </w:rPr>
            </w:pPr>
          </w:p>
        </w:tc>
      </w:tr>
      <w:tr w14:paraId="2E49BE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3FAE4FD6">
            <w:pPr>
              <w:pStyle w:val="230"/>
              <w:ind w:firstLine="0" w:firstLineChars="0"/>
              <w:jc w:val="center"/>
              <w:rPr>
                <w:sz w:val="18"/>
              </w:rPr>
            </w:pPr>
            <w:r>
              <w:rPr>
                <w:rFonts w:hint="eastAsia"/>
                <w:sz w:val="18"/>
              </w:rPr>
              <w:t>南</w:t>
            </w:r>
          </w:p>
        </w:tc>
        <w:tc>
          <w:tcPr>
            <w:tcW w:w="2161" w:type="dxa"/>
            <w:shd w:val="clear" w:color="auto" w:fill="auto"/>
            <w:vAlign w:val="center"/>
          </w:tcPr>
          <w:p w14:paraId="1D399358">
            <w:pPr>
              <w:pStyle w:val="230"/>
              <w:ind w:firstLine="0" w:firstLineChars="0"/>
              <w:jc w:val="center"/>
              <w:rPr>
                <w:sz w:val="18"/>
              </w:rPr>
            </w:pPr>
            <w:r>
              <w:rPr>
                <w:rFonts w:hint="eastAsia"/>
                <w:sz w:val="18"/>
              </w:rPr>
              <w:t>南西南</w:t>
            </w:r>
          </w:p>
        </w:tc>
        <w:tc>
          <w:tcPr>
            <w:tcW w:w="2160" w:type="dxa"/>
            <w:shd w:val="clear" w:color="auto" w:fill="auto"/>
            <w:vAlign w:val="center"/>
          </w:tcPr>
          <w:p w14:paraId="44D65F33">
            <w:pPr>
              <w:pStyle w:val="230"/>
              <w:ind w:firstLine="0" w:firstLineChars="0"/>
              <w:jc w:val="center"/>
              <w:rPr>
                <w:sz w:val="18"/>
              </w:rPr>
            </w:pPr>
            <w:r>
              <w:rPr>
                <w:rFonts w:hint="eastAsia"/>
                <w:sz w:val="18"/>
              </w:rPr>
              <w:t>西南</w:t>
            </w:r>
          </w:p>
        </w:tc>
        <w:tc>
          <w:tcPr>
            <w:tcW w:w="2161" w:type="dxa"/>
            <w:shd w:val="clear" w:color="auto" w:fill="auto"/>
            <w:vAlign w:val="center"/>
          </w:tcPr>
          <w:p w14:paraId="6F0F0543">
            <w:pPr>
              <w:pStyle w:val="230"/>
              <w:ind w:firstLine="0" w:firstLineChars="0"/>
              <w:jc w:val="center"/>
              <w:rPr>
                <w:sz w:val="18"/>
              </w:rPr>
            </w:pPr>
            <w:r>
              <w:rPr>
                <w:rFonts w:hint="eastAsia"/>
                <w:sz w:val="18"/>
              </w:rPr>
              <w:t>西西南</w:t>
            </w:r>
          </w:p>
        </w:tc>
      </w:tr>
      <w:tr w14:paraId="60B821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5E0E8824">
            <w:pPr>
              <w:pStyle w:val="230"/>
              <w:ind w:firstLine="0" w:firstLineChars="0"/>
              <w:jc w:val="center"/>
              <w:rPr>
                <w:sz w:val="18"/>
              </w:rPr>
            </w:pPr>
          </w:p>
        </w:tc>
        <w:tc>
          <w:tcPr>
            <w:tcW w:w="2161" w:type="dxa"/>
            <w:shd w:val="clear" w:color="auto" w:fill="auto"/>
            <w:vAlign w:val="center"/>
          </w:tcPr>
          <w:p w14:paraId="6E89BCB8">
            <w:pPr>
              <w:pStyle w:val="230"/>
              <w:ind w:firstLine="0" w:firstLineChars="0"/>
              <w:jc w:val="center"/>
              <w:rPr>
                <w:sz w:val="18"/>
              </w:rPr>
            </w:pPr>
          </w:p>
        </w:tc>
        <w:tc>
          <w:tcPr>
            <w:tcW w:w="2160" w:type="dxa"/>
            <w:shd w:val="clear" w:color="auto" w:fill="auto"/>
            <w:vAlign w:val="center"/>
          </w:tcPr>
          <w:p w14:paraId="3519D169">
            <w:pPr>
              <w:pStyle w:val="230"/>
              <w:ind w:firstLine="0" w:firstLineChars="0"/>
              <w:jc w:val="center"/>
              <w:rPr>
                <w:sz w:val="18"/>
              </w:rPr>
            </w:pPr>
          </w:p>
        </w:tc>
        <w:tc>
          <w:tcPr>
            <w:tcW w:w="2161" w:type="dxa"/>
            <w:shd w:val="clear" w:color="auto" w:fill="auto"/>
            <w:vAlign w:val="center"/>
          </w:tcPr>
          <w:p w14:paraId="3A8378A5">
            <w:pPr>
              <w:pStyle w:val="230"/>
              <w:ind w:firstLine="0" w:firstLineChars="0"/>
              <w:jc w:val="center"/>
              <w:rPr>
                <w:sz w:val="18"/>
              </w:rPr>
            </w:pPr>
          </w:p>
        </w:tc>
      </w:tr>
      <w:tr w14:paraId="40D3FD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12D95BD3">
            <w:pPr>
              <w:pStyle w:val="230"/>
              <w:ind w:firstLine="0" w:firstLineChars="0"/>
              <w:jc w:val="center"/>
              <w:rPr>
                <w:sz w:val="18"/>
              </w:rPr>
            </w:pPr>
            <w:r>
              <w:rPr>
                <w:rFonts w:hint="eastAsia"/>
                <w:sz w:val="18"/>
              </w:rPr>
              <w:t>西</w:t>
            </w:r>
          </w:p>
        </w:tc>
        <w:tc>
          <w:tcPr>
            <w:tcW w:w="2161" w:type="dxa"/>
            <w:shd w:val="clear" w:color="auto" w:fill="auto"/>
            <w:vAlign w:val="center"/>
          </w:tcPr>
          <w:p w14:paraId="37A46E8B">
            <w:pPr>
              <w:pStyle w:val="230"/>
              <w:ind w:firstLine="0" w:firstLineChars="0"/>
              <w:jc w:val="center"/>
              <w:rPr>
                <w:sz w:val="18"/>
              </w:rPr>
            </w:pPr>
            <w:r>
              <w:rPr>
                <w:rFonts w:hint="eastAsia"/>
                <w:sz w:val="18"/>
              </w:rPr>
              <w:t>西西北</w:t>
            </w:r>
          </w:p>
        </w:tc>
        <w:tc>
          <w:tcPr>
            <w:tcW w:w="2160" w:type="dxa"/>
            <w:shd w:val="clear" w:color="auto" w:fill="auto"/>
            <w:vAlign w:val="center"/>
          </w:tcPr>
          <w:p w14:paraId="3A318983">
            <w:pPr>
              <w:pStyle w:val="230"/>
              <w:ind w:firstLine="0" w:firstLineChars="0"/>
              <w:jc w:val="center"/>
              <w:rPr>
                <w:sz w:val="18"/>
              </w:rPr>
            </w:pPr>
            <w:r>
              <w:rPr>
                <w:rFonts w:hint="eastAsia"/>
                <w:sz w:val="18"/>
              </w:rPr>
              <w:t>西北</w:t>
            </w:r>
          </w:p>
        </w:tc>
        <w:tc>
          <w:tcPr>
            <w:tcW w:w="2161" w:type="dxa"/>
            <w:shd w:val="clear" w:color="auto" w:fill="auto"/>
            <w:vAlign w:val="center"/>
          </w:tcPr>
          <w:p w14:paraId="19753737">
            <w:pPr>
              <w:pStyle w:val="230"/>
              <w:ind w:firstLine="0" w:firstLineChars="0"/>
              <w:jc w:val="center"/>
              <w:rPr>
                <w:sz w:val="18"/>
              </w:rPr>
            </w:pPr>
            <w:r>
              <w:rPr>
                <w:rFonts w:hint="eastAsia"/>
                <w:sz w:val="18"/>
              </w:rPr>
              <w:t>北西北</w:t>
            </w:r>
          </w:p>
        </w:tc>
      </w:tr>
      <w:tr w14:paraId="6ACD60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bottom w:val="single" w:color="auto" w:sz="8" w:space="0"/>
            </w:tcBorders>
            <w:shd w:val="clear" w:color="auto" w:fill="auto"/>
            <w:vAlign w:val="center"/>
          </w:tcPr>
          <w:p w14:paraId="1FB278B1">
            <w:pPr>
              <w:pStyle w:val="230"/>
              <w:ind w:firstLine="0" w:firstLineChars="0"/>
              <w:jc w:val="center"/>
              <w:rPr>
                <w:sz w:val="18"/>
              </w:rPr>
            </w:pPr>
          </w:p>
        </w:tc>
        <w:tc>
          <w:tcPr>
            <w:tcW w:w="2161" w:type="dxa"/>
            <w:tcBorders>
              <w:bottom w:val="single" w:color="auto" w:sz="8" w:space="0"/>
            </w:tcBorders>
            <w:shd w:val="clear" w:color="auto" w:fill="auto"/>
            <w:vAlign w:val="center"/>
          </w:tcPr>
          <w:p w14:paraId="1CCCE4D0">
            <w:pPr>
              <w:pStyle w:val="230"/>
              <w:ind w:firstLine="0" w:firstLineChars="0"/>
              <w:jc w:val="center"/>
              <w:rPr>
                <w:sz w:val="18"/>
              </w:rPr>
            </w:pPr>
          </w:p>
        </w:tc>
        <w:tc>
          <w:tcPr>
            <w:tcW w:w="2160" w:type="dxa"/>
            <w:tcBorders>
              <w:bottom w:val="single" w:color="auto" w:sz="8" w:space="0"/>
            </w:tcBorders>
            <w:shd w:val="clear" w:color="auto" w:fill="auto"/>
            <w:vAlign w:val="center"/>
          </w:tcPr>
          <w:p w14:paraId="7B72B01D">
            <w:pPr>
              <w:pStyle w:val="230"/>
              <w:ind w:firstLine="0" w:firstLineChars="0"/>
              <w:jc w:val="center"/>
              <w:rPr>
                <w:sz w:val="18"/>
              </w:rPr>
            </w:pPr>
          </w:p>
        </w:tc>
        <w:tc>
          <w:tcPr>
            <w:tcW w:w="2161" w:type="dxa"/>
            <w:tcBorders>
              <w:bottom w:val="single" w:color="auto" w:sz="8" w:space="0"/>
            </w:tcBorders>
            <w:shd w:val="clear" w:color="auto" w:fill="auto"/>
            <w:vAlign w:val="center"/>
          </w:tcPr>
          <w:p w14:paraId="79DB3D58">
            <w:pPr>
              <w:pStyle w:val="230"/>
              <w:ind w:firstLine="0" w:firstLineChars="0"/>
              <w:jc w:val="center"/>
              <w:rPr>
                <w:sz w:val="18"/>
              </w:rPr>
            </w:pPr>
          </w:p>
        </w:tc>
      </w:tr>
    </w:tbl>
    <w:p w14:paraId="63EB32D5">
      <w:pPr>
        <w:pStyle w:val="56"/>
        <w:ind w:firstLine="420"/>
      </w:pPr>
    </w:p>
    <w:p w14:paraId="56E5469D">
      <w:pPr>
        <w:pStyle w:val="77"/>
        <w:spacing w:before="156" w:after="156"/>
        <w:ind w:left="0"/>
      </w:pPr>
      <w:r>
        <w:rPr>
          <w:rFonts w:hint="eastAsia"/>
        </w:rPr>
        <w:t>气象观测站点信息表</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0"/>
        <w:gridCol w:w="2161"/>
        <w:gridCol w:w="2161"/>
        <w:gridCol w:w="2161"/>
      </w:tblGrid>
      <w:tr w14:paraId="03F51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top w:val="single" w:color="auto" w:sz="8" w:space="0"/>
              <w:bottom w:val="single" w:color="auto" w:sz="8" w:space="0"/>
            </w:tcBorders>
            <w:shd w:val="clear" w:color="auto" w:fill="auto"/>
            <w:vAlign w:val="center"/>
          </w:tcPr>
          <w:p w14:paraId="34D2EC3F">
            <w:pPr>
              <w:pStyle w:val="230"/>
              <w:ind w:firstLine="0" w:firstLineChars="0"/>
              <w:rPr>
                <w:sz w:val="18"/>
              </w:rPr>
            </w:pPr>
            <w:r>
              <w:rPr>
                <w:rFonts w:hint="eastAsia"/>
                <w:sz w:val="18"/>
              </w:rPr>
              <w:t>站名</w:t>
            </w:r>
          </w:p>
        </w:tc>
        <w:tc>
          <w:tcPr>
            <w:tcW w:w="2161" w:type="dxa"/>
            <w:tcBorders>
              <w:top w:val="single" w:color="auto" w:sz="8" w:space="0"/>
              <w:bottom w:val="single" w:color="auto" w:sz="8" w:space="0"/>
            </w:tcBorders>
            <w:shd w:val="clear" w:color="auto" w:fill="auto"/>
            <w:vAlign w:val="center"/>
          </w:tcPr>
          <w:p w14:paraId="1ABE065B">
            <w:pPr>
              <w:pStyle w:val="230"/>
              <w:ind w:firstLine="0" w:firstLineChars="0"/>
              <w:rPr>
                <w:sz w:val="18"/>
              </w:rPr>
            </w:pPr>
          </w:p>
        </w:tc>
        <w:tc>
          <w:tcPr>
            <w:tcW w:w="2160" w:type="dxa"/>
            <w:tcBorders>
              <w:top w:val="single" w:color="auto" w:sz="8" w:space="0"/>
              <w:bottom w:val="single" w:color="auto" w:sz="8" w:space="0"/>
            </w:tcBorders>
            <w:shd w:val="clear" w:color="auto" w:fill="auto"/>
            <w:vAlign w:val="center"/>
          </w:tcPr>
          <w:p w14:paraId="07067FE5">
            <w:pPr>
              <w:pStyle w:val="230"/>
              <w:ind w:firstLine="0" w:firstLineChars="0"/>
              <w:rPr>
                <w:sz w:val="18"/>
              </w:rPr>
            </w:pPr>
            <w:r>
              <w:rPr>
                <w:rFonts w:hint="eastAsia"/>
                <w:sz w:val="18"/>
              </w:rPr>
              <w:t>地址</w:t>
            </w:r>
          </w:p>
        </w:tc>
        <w:tc>
          <w:tcPr>
            <w:tcW w:w="2161" w:type="dxa"/>
            <w:tcBorders>
              <w:top w:val="single" w:color="auto" w:sz="8" w:space="0"/>
              <w:bottom w:val="single" w:color="auto" w:sz="8" w:space="0"/>
            </w:tcBorders>
            <w:shd w:val="clear" w:color="auto" w:fill="auto"/>
            <w:vAlign w:val="center"/>
          </w:tcPr>
          <w:p w14:paraId="1F651576">
            <w:pPr>
              <w:pStyle w:val="230"/>
              <w:ind w:firstLine="0" w:firstLineChars="0"/>
              <w:rPr>
                <w:sz w:val="18"/>
              </w:rPr>
            </w:pPr>
          </w:p>
        </w:tc>
      </w:tr>
      <w:tr w14:paraId="6659DC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top w:val="single" w:color="auto" w:sz="8" w:space="0"/>
            </w:tcBorders>
            <w:shd w:val="clear" w:color="auto" w:fill="auto"/>
            <w:vAlign w:val="center"/>
          </w:tcPr>
          <w:p w14:paraId="6D486DB4">
            <w:pPr>
              <w:pStyle w:val="230"/>
              <w:ind w:firstLine="0" w:firstLineChars="0"/>
              <w:rPr>
                <w:sz w:val="18"/>
              </w:rPr>
            </w:pPr>
            <w:r>
              <w:rPr>
                <w:rFonts w:hint="eastAsia"/>
                <w:sz w:val="18"/>
              </w:rPr>
              <w:t>经度（度）</w:t>
            </w:r>
          </w:p>
        </w:tc>
        <w:tc>
          <w:tcPr>
            <w:tcW w:w="2161" w:type="dxa"/>
            <w:tcBorders>
              <w:top w:val="single" w:color="auto" w:sz="8" w:space="0"/>
            </w:tcBorders>
            <w:shd w:val="clear" w:color="auto" w:fill="auto"/>
            <w:vAlign w:val="center"/>
          </w:tcPr>
          <w:p w14:paraId="0EA578AC">
            <w:pPr>
              <w:pStyle w:val="230"/>
              <w:ind w:firstLine="0" w:firstLineChars="0"/>
              <w:rPr>
                <w:sz w:val="18"/>
              </w:rPr>
            </w:pPr>
          </w:p>
        </w:tc>
        <w:tc>
          <w:tcPr>
            <w:tcW w:w="2160" w:type="dxa"/>
            <w:tcBorders>
              <w:top w:val="single" w:color="auto" w:sz="8" w:space="0"/>
            </w:tcBorders>
            <w:shd w:val="clear" w:color="auto" w:fill="auto"/>
            <w:vAlign w:val="center"/>
          </w:tcPr>
          <w:p w14:paraId="7D130FB5">
            <w:pPr>
              <w:pStyle w:val="230"/>
              <w:ind w:firstLine="0" w:firstLineChars="0"/>
              <w:rPr>
                <w:sz w:val="18"/>
              </w:rPr>
            </w:pPr>
            <w:r>
              <w:rPr>
                <w:rFonts w:hint="eastAsia"/>
                <w:sz w:val="18"/>
              </w:rPr>
              <w:t>纬度（度）</w:t>
            </w:r>
          </w:p>
        </w:tc>
        <w:tc>
          <w:tcPr>
            <w:tcW w:w="2161" w:type="dxa"/>
            <w:tcBorders>
              <w:top w:val="single" w:color="auto" w:sz="8" w:space="0"/>
            </w:tcBorders>
            <w:shd w:val="clear" w:color="auto" w:fill="auto"/>
            <w:vAlign w:val="center"/>
          </w:tcPr>
          <w:p w14:paraId="5F4E9FEB">
            <w:pPr>
              <w:pStyle w:val="230"/>
              <w:ind w:firstLine="0" w:firstLineChars="0"/>
              <w:rPr>
                <w:sz w:val="18"/>
              </w:rPr>
            </w:pPr>
          </w:p>
        </w:tc>
      </w:tr>
      <w:tr w14:paraId="14354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20655F53">
            <w:pPr>
              <w:pStyle w:val="230"/>
              <w:ind w:firstLine="0" w:firstLineChars="0"/>
              <w:rPr>
                <w:sz w:val="18"/>
              </w:rPr>
            </w:pPr>
            <w:r>
              <w:rPr>
                <w:rFonts w:hint="eastAsia"/>
                <w:sz w:val="18"/>
              </w:rPr>
              <w:t>海拔高度（米）</w:t>
            </w:r>
          </w:p>
        </w:tc>
        <w:tc>
          <w:tcPr>
            <w:tcW w:w="2161" w:type="dxa"/>
            <w:shd w:val="clear" w:color="auto" w:fill="auto"/>
            <w:vAlign w:val="center"/>
          </w:tcPr>
          <w:p w14:paraId="6C06B576">
            <w:pPr>
              <w:pStyle w:val="230"/>
              <w:ind w:firstLine="0" w:firstLineChars="0"/>
              <w:rPr>
                <w:sz w:val="18"/>
              </w:rPr>
            </w:pPr>
          </w:p>
        </w:tc>
        <w:tc>
          <w:tcPr>
            <w:tcW w:w="2160" w:type="dxa"/>
            <w:shd w:val="clear" w:color="auto" w:fill="auto"/>
            <w:vAlign w:val="center"/>
          </w:tcPr>
          <w:p w14:paraId="586C668D">
            <w:pPr>
              <w:pStyle w:val="230"/>
              <w:ind w:firstLine="0" w:firstLineChars="0"/>
              <w:rPr>
                <w:sz w:val="18"/>
              </w:rPr>
            </w:pPr>
            <w:r>
              <w:rPr>
                <w:rFonts w:hint="eastAsia"/>
                <w:sz w:val="18"/>
              </w:rPr>
              <w:t>填写日期</w:t>
            </w:r>
          </w:p>
        </w:tc>
        <w:tc>
          <w:tcPr>
            <w:tcW w:w="2161" w:type="dxa"/>
            <w:shd w:val="clear" w:color="auto" w:fill="auto"/>
            <w:vAlign w:val="center"/>
          </w:tcPr>
          <w:p w14:paraId="51A724A2">
            <w:pPr>
              <w:pStyle w:val="230"/>
              <w:ind w:firstLine="0" w:firstLineChars="0"/>
              <w:rPr>
                <w:sz w:val="18"/>
              </w:rPr>
            </w:pPr>
          </w:p>
        </w:tc>
      </w:tr>
      <w:tr w14:paraId="3FA42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5BD3B233">
            <w:pPr>
              <w:pStyle w:val="230"/>
              <w:ind w:firstLine="0" w:firstLineChars="0"/>
              <w:rPr>
                <w:sz w:val="18"/>
              </w:rPr>
            </w:pPr>
            <w:r>
              <w:rPr>
                <w:rFonts w:hint="eastAsia"/>
                <w:sz w:val="18"/>
              </w:rPr>
              <w:t>观测站下垫面类型</w:t>
            </w:r>
          </w:p>
        </w:tc>
        <w:tc>
          <w:tcPr>
            <w:tcW w:w="2160" w:type="dxa"/>
            <w:shd w:val="clear" w:color="auto" w:fill="auto"/>
            <w:vAlign w:val="center"/>
          </w:tcPr>
          <w:p w14:paraId="63683387">
            <w:pPr>
              <w:pStyle w:val="230"/>
              <w:ind w:firstLine="0" w:firstLineChars="0"/>
              <w:rPr>
                <w:sz w:val="18"/>
              </w:rPr>
            </w:pPr>
          </w:p>
        </w:tc>
        <w:tc>
          <w:tcPr>
            <w:tcW w:w="2161" w:type="dxa"/>
            <w:shd w:val="clear" w:color="auto" w:fill="auto"/>
            <w:vAlign w:val="center"/>
          </w:tcPr>
          <w:p w14:paraId="2F8DBC8D">
            <w:pPr>
              <w:pStyle w:val="230"/>
              <w:ind w:firstLine="0" w:firstLineChars="0"/>
              <w:rPr>
                <w:sz w:val="18"/>
              </w:rPr>
            </w:pPr>
            <w:r>
              <w:rPr>
                <w:rFonts w:hint="eastAsia"/>
                <w:sz w:val="18"/>
              </w:rPr>
              <w:t>风</w:t>
            </w:r>
            <w:r>
              <w:rPr>
                <w:sz w:val="18"/>
              </w:rPr>
              <w:t>观测高度（</w:t>
            </w:r>
            <w:r>
              <w:rPr>
                <w:rFonts w:hint="eastAsia"/>
                <w:sz w:val="18"/>
              </w:rPr>
              <w:t>米</w:t>
            </w:r>
            <w:r>
              <w:rPr>
                <w:sz w:val="18"/>
              </w:rPr>
              <w:t>）</w:t>
            </w:r>
          </w:p>
        </w:tc>
        <w:tc>
          <w:tcPr>
            <w:tcW w:w="2161" w:type="dxa"/>
            <w:shd w:val="clear" w:color="auto" w:fill="auto"/>
            <w:vAlign w:val="center"/>
          </w:tcPr>
          <w:p w14:paraId="6B874663">
            <w:pPr>
              <w:pStyle w:val="230"/>
              <w:ind w:firstLine="0" w:firstLineChars="0"/>
              <w:rPr>
                <w:sz w:val="18"/>
              </w:rPr>
            </w:pPr>
          </w:p>
        </w:tc>
      </w:tr>
      <w:tr w14:paraId="73FB9A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16F86F80">
            <w:pPr>
              <w:pStyle w:val="230"/>
              <w:ind w:firstLine="0" w:firstLineChars="0"/>
              <w:rPr>
                <w:sz w:val="18"/>
              </w:rPr>
            </w:pPr>
            <w:r>
              <w:rPr>
                <w:rFonts w:hint="eastAsia"/>
                <w:sz w:val="18"/>
              </w:rPr>
              <w:t>观测场周围环境</w:t>
            </w:r>
          </w:p>
        </w:tc>
        <w:tc>
          <w:tcPr>
            <w:tcW w:w="6482" w:type="dxa"/>
            <w:gridSpan w:val="3"/>
            <w:shd w:val="clear" w:color="auto" w:fill="auto"/>
            <w:vAlign w:val="center"/>
          </w:tcPr>
          <w:p w14:paraId="53DA2CF5">
            <w:pPr>
              <w:pStyle w:val="230"/>
              <w:ind w:firstLine="0" w:firstLineChars="0"/>
              <w:rPr>
                <w:sz w:val="18"/>
              </w:rPr>
            </w:pPr>
          </w:p>
        </w:tc>
      </w:tr>
      <w:tr w14:paraId="73FC0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642" w:type="dxa"/>
            <w:gridSpan w:val="4"/>
            <w:shd w:val="clear" w:color="auto" w:fill="auto"/>
            <w:vAlign w:val="center"/>
          </w:tcPr>
          <w:p w14:paraId="165C74DD">
            <w:pPr>
              <w:pStyle w:val="230"/>
              <w:ind w:firstLine="0" w:firstLineChars="0"/>
              <w:jc w:val="center"/>
              <w:rPr>
                <w:sz w:val="18"/>
              </w:rPr>
            </w:pPr>
            <w:r>
              <w:rPr>
                <w:rFonts w:hint="eastAsia"/>
                <w:sz w:val="18"/>
              </w:rPr>
              <w:t>观测站点十六方位照片</w:t>
            </w:r>
          </w:p>
        </w:tc>
      </w:tr>
      <w:tr w14:paraId="60741F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27D5E00F">
            <w:pPr>
              <w:pStyle w:val="230"/>
              <w:ind w:firstLine="0" w:firstLineChars="0"/>
              <w:jc w:val="center"/>
              <w:rPr>
                <w:sz w:val="18"/>
              </w:rPr>
            </w:pPr>
            <w:r>
              <w:rPr>
                <w:rFonts w:hint="eastAsia"/>
                <w:sz w:val="18"/>
              </w:rPr>
              <w:t>北</w:t>
            </w:r>
          </w:p>
        </w:tc>
        <w:tc>
          <w:tcPr>
            <w:tcW w:w="2161" w:type="dxa"/>
            <w:shd w:val="clear" w:color="auto" w:fill="auto"/>
            <w:vAlign w:val="center"/>
          </w:tcPr>
          <w:p w14:paraId="53017564">
            <w:pPr>
              <w:pStyle w:val="230"/>
              <w:ind w:firstLine="0" w:firstLineChars="0"/>
              <w:jc w:val="center"/>
              <w:rPr>
                <w:sz w:val="18"/>
              </w:rPr>
            </w:pPr>
            <w:r>
              <w:rPr>
                <w:rFonts w:hint="eastAsia"/>
                <w:sz w:val="18"/>
              </w:rPr>
              <w:t>北东北</w:t>
            </w:r>
          </w:p>
        </w:tc>
        <w:tc>
          <w:tcPr>
            <w:tcW w:w="2160" w:type="dxa"/>
            <w:shd w:val="clear" w:color="auto" w:fill="auto"/>
            <w:vAlign w:val="center"/>
          </w:tcPr>
          <w:p w14:paraId="7A016447">
            <w:pPr>
              <w:pStyle w:val="230"/>
              <w:ind w:firstLine="0" w:firstLineChars="0"/>
              <w:jc w:val="center"/>
              <w:rPr>
                <w:sz w:val="18"/>
              </w:rPr>
            </w:pPr>
            <w:r>
              <w:rPr>
                <w:rFonts w:hint="eastAsia"/>
                <w:sz w:val="18"/>
              </w:rPr>
              <w:t>东北</w:t>
            </w:r>
          </w:p>
        </w:tc>
        <w:tc>
          <w:tcPr>
            <w:tcW w:w="2161" w:type="dxa"/>
            <w:shd w:val="clear" w:color="auto" w:fill="auto"/>
            <w:vAlign w:val="center"/>
          </w:tcPr>
          <w:p w14:paraId="2270E7AA">
            <w:pPr>
              <w:pStyle w:val="230"/>
              <w:ind w:firstLine="0" w:firstLineChars="0"/>
              <w:jc w:val="center"/>
              <w:rPr>
                <w:sz w:val="18"/>
              </w:rPr>
            </w:pPr>
            <w:r>
              <w:rPr>
                <w:rFonts w:hint="eastAsia"/>
                <w:sz w:val="18"/>
              </w:rPr>
              <w:t>东东北</w:t>
            </w:r>
          </w:p>
        </w:tc>
      </w:tr>
      <w:tr w14:paraId="569011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61EC3ACB">
            <w:pPr>
              <w:pStyle w:val="230"/>
              <w:ind w:firstLine="0" w:firstLineChars="0"/>
              <w:jc w:val="center"/>
              <w:rPr>
                <w:sz w:val="18"/>
              </w:rPr>
            </w:pPr>
          </w:p>
        </w:tc>
        <w:tc>
          <w:tcPr>
            <w:tcW w:w="2161" w:type="dxa"/>
            <w:shd w:val="clear" w:color="auto" w:fill="auto"/>
            <w:vAlign w:val="center"/>
          </w:tcPr>
          <w:p w14:paraId="3E986945">
            <w:pPr>
              <w:pStyle w:val="230"/>
              <w:ind w:firstLine="0" w:firstLineChars="0"/>
              <w:jc w:val="center"/>
              <w:rPr>
                <w:sz w:val="18"/>
              </w:rPr>
            </w:pPr>
          </w:p>
        </w:tc>
        <w:tc>
          <w:tcPr>
            <w:tcW w:w="2160" w:type="dxa"/>
            <w:shd w:val="clear" w:color="auto" w:fill="auto"/>
            <w:vAlign w:val="center"/>
          </w:tcPr>
          <w:p w14:paraId="780B48A4">
            <w:pPr>
              <w:pStyle w:val="230"/>
              <w:ind w:firstLine="0" w:firstLineChars="0"/>
              <w:jc w:val="center"/>
              <w:rPr>
                <w:sz w:val="18"/>
              </w:rPr>
            </w:pPr>
          </w:p>
        </w:tc>
        <w:tc>
          <w:tcPr>
            <w:tcW w:w="2161" w:type="dxa"/>
            <w:shd w:val="clear" w:color="auto" w:fill="auto"/>
            <w:vAlign w:val="center"/>
          </w:tcPr>
          <w:p w14:paraId="63EEADD8">
            <w:pPr>
              <w:pStyle w:val="230"/>
              <w:ind w:firstLine="0" w:firstLineChars="0"/>
              <w:jc w:val="center"/>
              <w:rPr>
                <w:sz w:val="18"/>
              </w:rPr>
            </w:pPr>
          </w:p>
        </w:tc>
      </w:tr>
      <w:tr w14:paraId="1F39C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6FFA951C">
            <w:pPr>
              <w:pStyle w:val="230"/>
              <w:ind w:firstLine="0" w:firstLineChars="0"/>
              <w:jc w:val="center"/>
              <w:rPr>
                <w:sz w:val="18"/>
              </w:rPr>
            </w:pPr>
            <w:r>
              <w:rPr>
                <w:rFonts w:hint="eastAsia"/>
                <w:sz w:val="18"/>
              </w:rPr>
              <w:t>东</w:t>
            </w:r>
          </w:p>
        </w:tc>
        <w:tc>
          <w:tcPr>
            <w:tcW w:w="2161" w:type="dxa"/>
            <w:shd w:val="clear" w:color="auto" w:fill="auto"/>
            <w:vAlign w:val="center"/>
          </w:tcPr>
          <w:p w14:paraId="7B374AAE">
            <w:pPr>
              <w:pStyle w:val="230"/>
              <w:ind w:firstLine="0" w:firstLineChars="0"/>
              <w:jc w:val="center"/>
              <w:rPr>
                <w:sz w:val="18"/>
              </w:rPr>
            </w:pPr>
            <w:r>
              <w:rPr>
                <w:rFonts w:hint="eastAsia"/>
                <w:sz w:val="18"/>
              </w:rPr>
              <w:t>东东南</w:t>
            </w:r>
          </w:p>
        </w:tc>
        <w:tc>
          <w:tcPr>
            <w:tcW w:w="2160" w:type="dxa"/>
            <w:shd w:val="clear" w:color="auto" w:fill="auto"/>
            <w:vAlign w:val="center"/>
          </w:tcPr>
          <w:p w14:paraId="1338EAA0">
            <w:pPr>
              <w:pStyle w:val="230"/>
              <w:ind w:firstLine="0" w:firstLineChars="0"/>
              <w:jc w:val="center"/>
              <w:rPr>
                <w:sz w:val="18"/>
              </w:rPr>
            </w:pPr>
            <w:r>
              <w:rPr>
                <w:rFonts w:hint="eastAsia"/>
                <w:sz w:val="18"/>
              </w:rPr>
              <w:t>东南</w:t>
            </w:r>
          </w:p>
        </w:tc>
        <w:tc>
          <w:tcPr>
            <w:tcW w:w="2161" w:type="dxa"/>
            <w:shd w:val="clear" w:color="auto" w:fill="auto"/>
            <w:vAlign w:val="center"/>
          </w:tcPr>
          <w:p w14:paraId="098DC7E2">
            <w:pPr>
              <w:pStyle w:val="230"/>
              <w:ind w:firstLine="0" w:firstLineChars="0"/>
              <w:jc w:val="center"/>
              <w:rPr>
                <w:sz w:val="18"/>
              </w:rPr>
            </w:pPr>
            <w:r>
              <w:rPr>
                <w:rFonts w:hint="eastAsia"/>
                <w:sz w:val="18"/>
              </w:rPr>
              <w:t>南东南</w:t>
            </w:r>
          </w:p>
        </w:tc>
      </w:tr>
      <w:tr w14:paraId="729B80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07BC235E">
            <w:pPr>
              <w:pStyle w:val="230"/>
              <w:ind w:firstLine="0" w:firstLineChars="0"/>
              <w:jc w:val="center"/>
              <w:rPr>
                <w:sz w:val="18"/>
              </w:rPr>
            </w:pPr>
          </w:p>
        </w:tc>
        <w:tc>
          <w:tcPr>
            <w:tcW w:w="2161" w:type="dxa"/>
            <w:shd w:val="clear" w:color="auto" w:fill="auto"/>
            <w:vAlign w:val="center"/>
          </w:tcPr>
          <w:p w14:paraId="57A57B4E">
            <w:pPr>
              <w:pStyle w:val="230"/>
              <w:ind w:firstLine="0" w:firstLineChars="0"/>
              <w:jc w:val="center"/>
              <w:rPr>
                <w:sz w:val="18"/>
              </w:rPr>
            </w:pPr>
          </w:p>
        </w:tc>
        <w:tc>
          <w:tcPr>
            <w:tcW w:w="2160" w:type="dxa"/>
            <w:shd w:val="clear" w:color="auto" w:fill="auto"/>
            <w:vAlign w:val="center"/>
          </w:tcPr>
          <w:p w14:paraId="027834FC">
            <w:pPr>
              <w:pStyle w:val="230"/>
              <w:ind w:firstLine="0" w:firstLineChars="0"/>
              <w:jc w:val="center"/>
              <w:rPr>
                <w:sz w:val="18"/>
              </w:rPr>
            </w:pPr>
          </w:p>
        </w:tc>
        <w:tc>
          <w:tcPr>
            <w:tcW w:w="2161" w:type="dxa"/>
            <w:shd w:val="clear" w:color="auto" w:fill="auto"/>
            <w:vAlign w:val="center"/>
          </w:tcPr>
          <w:p w14:paraId="58954C43">
            <w:pPr>
              <w:pStyle w:val="230"/>
              <w:ind w:firstLine="0" w:firstLineChars="0"/>
              <w:jc w:val="center"/>
              <w:rPr>
                <w:sz w:val="18"/>
              </w:rPr>
            </w:pPr>
          </w:p>
        </w:tc>
      </w:tr>
      <w:tr w14:paraId="7DB28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52970D20">
            <w:pPr>
              <w:pStyle w:val="230"/>
              <w:ind w:firstLine="0" w:firstLineChars="0"/>
              <w:jc w:val="center"/>
              <w:rPr>
                <w:sz w:val="18"/>
              </w:rPr>
            </w:pPr>
            <w:r>
              <w:rPr>
                <w:rFonts w:hint="eastAsia"/>
                <w:sz w:val="18"/>
              </w:rPr>
              <w:t>南</w:t>
            </w:r>
          </w:p>
        </w:tc>
        <w:tc>
          <w:tcPr>
            <w:tcW w:w="2161" w:type="dxa"/>
            <w:shd w:val="clear" w:color="auto" w:fill="auto"/>
            <w:vAlign w:val="center"/>
          </w:tcPr>
          <w:p w14:paraId="07DF7326">
            <w:pPr>
              <w:pStyle w:val="230"/>
              <w:ind w:firstLine="0" w:firstLineChars="0"/>
              <w:jc w:val="center"/>
              <w:rPr>
                <w:sz w:val="18"/>
              </w:rPr>
            </w:pPr>
            <w:r>
              <w:rPr>
                <w:rFonts w:hint="eastAsia"/>
                <w:sz w:val="18"/>
              </w:rPr>
              <w:t>南西南</w:t>
            </w:r>
          </w:p>
        </w:tc>
        <w:tc>
          <w:tcPr>
            <w:tcW w:w="2160" w:type="dxa"/>
            <w:shd w:val="clear" w:color="auto" w:fill="auto"/>
            <w:vAlign w:val="center"/>
          </w:tcPr>
          <w:p w14:paraId="22512936">
            <w:pPr>
              <w:pStyle w:val="230"/>
              <w:ind w:firstLine="0" w:firstLineChars="0"/>
              <w:jc w:val="center"/>
              <w:rPr>
                <w:sz w:val="18"/>
              </w:rPr>
            </w:pPr>
            <w:r>
              <w:rPr>
                <w:rFonts w:hint="eastAsia"/>
                <w:sz w:val="18"/>
              </w:rPr>
              <w:t>西南</w:t>
            </w:r>
          </w:p>
        </w:tc>
        <w:tc>
          <w:tcPr>
            <w:tcW w:w="2161" w:type="dxa"/>
            <w:shd w:val="clear" w:color="auto" w:fill="auto"/>
            <w:vAlign w:val="center"/>
          </w:tcPr>
          <w:p w14:paraId="1EA6BD22">
            <w:pPr>
              <w:pStyle w:val="230"/>
              <w:ind w:firstLine="0" w:firstLineChars="0"/>
              <w:jc w:val="center"/>
              <w:rPr>
                <w:sz w:val="18"/>
              </w:rPr>
            </w:pPr>
            <w:r>
              <w:rPr>
                <w:rFonts w:hint="eastAsia"/>
                <w:sz w:val="18"/>
              </w:rPr>
              <w:t>西西南</w:t>
            </w:r>
          </w:p>
        </w:tc>
      </w:tr>
      <w:tr w14:paraId="610CA5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447A80B1">
            <w:pPr>
              <w:pStyle w:val="230"/>
              <w:ind w:firstLine="0" w:firstLineChars="0"/>
              <w:jc w:val="center"/>
              <w:rPr>
                <w:sz w:val="18"/>
              </w:rPr>
            </w:pPr>
          </w:p>
        </w:tc>
        <w:tc>
          <w:tcPr>
            <w:tcW w:w="2161" w:type="dxa"/>
            <w:shd w:val="clear" w:color="auto" w:fill="auto"/>
            <w:vAlign w:val="center"/>
          </w:tcPr>
          <w:p w14:paraId="2AA7EF6D">
            <w:pPr>
              <w:pStyle w:val="230"/>
              <w:ind w:firstLine="0" w:firstLineChars="0"/>
              <w:jc w:val="center"/>
              <w:rPr>
                <w:sz w:val="18"/>
              </w:rPr>
            </w:pPr>
          </w:p>
        </w:tc>
        <w:tc>
          <w:tcPr>
            <w:tcW w:w="2160" w:type="dxa"/>
            <w:shd w:val="clear" w:color="auto" w:fill="auto"/>
            <w:vAlign w:val="center"/>
          </w:tcPr>
          <w:p w14:paraId="0798FC5F">
            <w:pPr>
              <w:pStyle w:val="230"/>
              <w:ind w:firstLine="0" w:firstLineChars="0"/>
              <w:jc w:val="center"/>
              <w:rPr>
                <w:sz w:val="18"/>
              </w:rPr>
            </w:pPr>
          </w:p>
        </w:tc>
        <w:tc>
          <w:tcPr>
            <w:tcW w:w="2161" w:type="dxa"/>
            <w:shd w:val="clear" w:color="auto" w:fill="auto"/>
            <w:vAlign w:val="center"/>
          </w:tcPr>
          <w:p w14:paraId="13167ED6">
            <w:pPr>
              <w:pStyle w:val="230"/>
              <w:ind w:firstLine="0" w:firstLineChars="0"/>
              <w:jc w:val="center"/>
              <w:rPr>
                <w:sz w:val="18"/>
              </w:rPr>
            </w:pPr>
          </w:p>
        </w:tc>
      </w:tr>
      <w:tr w14:paraId="19483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shd w:val="clear" w:color="auto" w:fill="auto"/>
            <w:vAlign w:val="center"/>
          </w:tcPr>
          <w:p w14:paraId="3D3C675D">
            <w:pPr>
              <w:pStyle w:val="230"/>
              <w:ind w:firstLine="0" w:firstLineChars="0"/>
              <w:jc w:val="center"/>
              <w:rPr>
                <w:sz w:val="18"/>
              </w:rPr>
            </w:pPr>
            <w:r>
              <w:rPr>
                <w:rFonts w:hint="eastAsia"/>
                <w:sz w:val="18"/>
              </w:rPr>
              <w:t>西</w:t>
            </w:r>
          </w:p>
        </w:tc>
        <w:tc>
          <w:tcPr>
            <w:tcW w:w="2161" w:type="dxa"/>
            <w:shd w:val="clear" w:color="auto" w:fill="auto"/>
            <w:vAlign w:val="center"/>
          </w:tcPr>
          <w:p w14:paraId="5156373F">
            <w:pPr>
              <w:pStyle w:val="230"/>
              <w:ind w:firstLine="0" w:firstLineChars="0"/>
              <w:jc w:val="center"/>
              <w:rPr>
                <w:sz w:val="18"/>
              </w:rPr>
            </w:pPr>
            <w:r>
              <w:rPr>
                <w:rFonts w:hint="eastAsia"/>
                <w:sz w:val="18"/>
              </w:rPr>
              <w:t>西西北</w:t>
            </w:r>
          </w:p>
        </w:tc>
        <w:tc>
          <w:tcPr>
            <w:tcW w:w="2160" w:type="dxa"/>
            <w:shd w:val="clear" w:color="auto" w:fill="auto"/>
            <w:vAlign w:val="center"/>
          </w:tcPr>
          <w:p w14:paraId="73924B45">
            <w:pPr>
              <w:pStyle w:val="230"/>
              <w:ind w:firstLine="0" w:firstLineChars="0"/>
              <w:jc w:val="center"/>
              <w:rPr>
                <w:sz w:val="18"/>
              </w:rPr>
            </w:pPr>
            <w:r>
              <w:rPr>
                <w:rFonts w:hint="eastAsia"/>
                <w:sz w:val="18"/>
              </w:rPr>
              <w:t>西北</w:t>
            </w:r>
          </w:p>
        </w:tc>
        <w:tc>
          <w:tcPr>
            <w:tcW w:w="2161" w:type="dxa"/>
            <w:shd w:val="clear" w:color="auto" w:fill="auto"/>
            <w:vAlign w:val="center"/>
          </w:tcPr>
          <w:p w14:paraId="4E5E78AC">
            <w:pPr>
              <w:pStyle w:val="230"/>
              <w:ind w:firstLine="0" w:firstLineChars="0"/>
              <w:jc w:val="center"/>
              <w:rPr>
                <w:sz w:val="18"/>
              </w:rPr>
            </w:pPr>
            <w:r>
              <w:rPr>
                <w:rFonts w:hint="eastAsia"/>
                <w:sz w:val="18"/>
              </w:rPr>
              <w:t>北西北</w:t>
            </w:r>
          </w:p>
        </w:tc>
      </w:tr>
      <w:tr w14:paraId="556EC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60" w:type="dxa"/>
            <w:tcBorders>
              <w:bottom w:val="single" w:color="auto" w:sz="8" w:space="0"/>
            </w:tcBorders>
            <w:shd w:val="clear" w:color="auto" w:fill="auto"/>
            <w:vAlign w:val="center"/>
          </w:tcPr>
          <w:p w14:paraId="02DF173E">
            <w:pPr>
              <w:pStyle w:val="230"/>
              <w:ind w:firstLine="0" w:firstLineChars="0"/>
              <w:jc w:val="center"/>
              <w:rPr>
                <w:sz w:val="18"/>
              </w:rPr>
            </w:pPr>
          </w:p>
        </w:tc>
        <w:tc>
          <w:tcPr>
            <w:tcW w:w="2161" w:type="dxa"/>
            <w:tcBorders>
              <w:bottom w:val="single" w:color="auto" w:sz="8" w:space="0"/>
            </w:tcBorders>
            <w:shd w:val="clear" w:color="auto" w:fill="auto"/>
            <w:vAlign w:val="center"/>
          </w:tcPr>
          <w:p w14:paraId="438B52DB">
            <w:pPr>
              <w:pStyle w:val="230"/>
              <w:ind w:firstLine="0" w:firstLineChars="0"/>
              <w:jc w:val="center"/>
              <w:rPr>
                <w:sz w:val="18"/>
              </w:rPr>
            </w:pPr>
          </w:p>
        </w:tc>
        <w:tc>
          <w:tcPr>
            <w:tcW w:w="2160" w:type="dxa"/>
            <w:tcBorders>
              <w:bottom w:val="single" w:color="auto" w:sz="8" w:space="0"/>
            </w:tcBorders>
            <w:shd w:val="clear" w:color="auto" w:fill="auto"/>
            <w:vAlign w:val="center"/>
          </w:tcPr>
          <w:p w14:paraId="52F67147">
            <w:pPr>
              <w:pStyle w:val="230"/>
              <w:ind w:firstLine="0" w:firstLineChars="0"/>
              <w:jc w:val="center"/>
              <w:rPr>
                <w:sz w:val="18"/>
              </w:rPr>
            </w:pPr>
          </w:p>
        </w:tc>
        <w:tc>
          <w:tcPr>
            <w:tcW w:w="2161" w:type="dxa"/>
            <w:tcBorders>
              <w:bottom w:val="single" w:color="auto" w:sz="8" w:space="0"/>
            </w:tcBorders>
            <w:shd w:val="clear" w:color="auto" w:fill="auto"/>
            <w:vAlign w:val="center"/>
          </w:tcPr>
          <w:p w14:paraId="536499D7">
            <w:pPr>
              <w:pStyle w:val="230"/>
              <w:ind w:firstLine="0" w:firstLineChars="0"/>
              <w:jc w:val="center"/>
              <w:rPr>
                <w:sz w:val="18"/>
              </w:rPr>
            </w:pPr>
          </w:p>
        </w:tc>
      </w:tr>
    </w:tbl>
    <w:p w14:paraId="14D2F7E0">
      <w:pPr>
        <w:pStyle w:val="56"/>
        <w:ind w:firstLine="420"/>
      </w:pPr>
    </w:p>
    <w:p w14:paraId="5109FA4E">
      <w:pPr>
        <w:pStyle w:val="56"/>
        <w:ind w:firstLine="420"/>
      </w:pPr>
    </w:p>
    <w:p w14:paraId="06D475E1">
      <w:pPr>
        <w:pStyle w:val="56"/>
        <w:ind w:firstLine="420"/>
      </w:pPr>
    </w:p>
    <w:p w14:paraId="1FBAEFAA">
      <w:pPr>
        <w:pStyle w:val="56"/>
        <w:ind w:firstLine="420"/>
      </w:pPr>
    </w:p>
    <w:p w14:paraId="6DF940B4">
      <w:pPr>
        <w:pStyle w:val="56"/>
        <w:ind w:firstLine="420"/>
        <w:sectPr>
          <w:pgSz w:w="11906" w:h="16838"/>
          <w:pgMar w:top="1928" w:right="1134" w:bottom="1134" w:left="1134" w:header="1418" w:footer="1134" w:gutter="284"/>
          <w:cols w:space="425" w:num="1"/>
          <w:formProt w:val="0"/>
          <w:docGrid w:type="lines" w:linePitch="312" w:charSpace="0"/>
        </w:sectPr>
      </w:pPr>
    </w:p>
    <w:p w14:paraId="60ACA607">
      <w:pPr>
        <w:pStyle w:val="198"/>
        <w:rPr>
          <w:vanish w:val="0"/>
        </w:rPr>
      </w:pPr>
    </w:p>
    <w:p w14:paraId="5A6A3A00">
      <w:pPr>
        <w:pStyle w:val="199"/>
        <w:rPr>
          <w:vanish w:val="0"/>
        </w:rPr>
      </w:pPr>
    </w:p>
    <w:bookmarkEnd w:id="76"/>
    <w:p w14:paraId="383FFB93">
      <w:pPr>
        <w:pStyle w:val="63"/>
        <w:spacing w:after="156"/>
      </w:pPr>
      <w:bookmarkStart w:id="81" w:name="_Toc130808119"/>
      <w:bookmarkStart w:id="82" w:name="_Toc177025934"/>
      <w:bookmarkStart w:id="83" w:name="BookMark6"/>
      <w:r>
        <w:rPr>
          <w:rFonts w:hint="eastAsia"/>
          <w:spacing w:val="105"/>
        </w:rPr>
        <w:t>参考文</w:t>
      </w:r>
      <w:r>
        <w:rPr>
          <w:rFonts w:hint="eastAsia"/>
        </w:rPr>
        <w:t>献</w:t>
      </w:r>
      <w:bookmarkEnd w:id="81"/>
      <w:bookmarkEnd w:id="82"/>
    </w:p>
    <w:p w14:paraId="26FE054D">
      <w:pPr>
        <w:pStyle w:val="230"/>
        <w:ind w:firstLine="0" w:firstLineChars="0"/>
        <w:rPr>
          <w:rFonts w:ascii="Times New Roman"/>
        </w:rPr>
      </w:pPr>
      <w:r>
        <w:rPr>
          <w:rFonts w:hint="eastAsia" w:ascii="Times New Roman"/>
        </w:rPr>
        <w:t xml:space="preserve">[1] </w:t>
      </w:r>
      <w:r>
        <w:rPr>
          <w:rFonts w:ascii="Times New Roman"/>
        </w:rPr>
        <w:t xml:space="preserve">QX/T 125-2011 </w:t>
      </w:r>
      <w:r>
        <w:rPr>
          <w:rFonts w:hint="eastAsia" w:ascii="Times New Roman"/>
        </w:rPr>
        <w:t>温室气体</w:t>
      </w:r>
      <w:r>
        <w:rPr>
          <w:rFonts w:ascii="Times New Roman"/>
        </w:rPr>
        <w:t>本底浓度观测术语</w:t>
      </w:r>
    </w:p>
    <w:p w14:paraId="79C45D15">
      <w:pPr>
        <w:pStyle w:val="230"/>
        <w:ind w:firstLine="0" w:firstLineChars="0"/>
        <w:rPr>
          <w:rFonts w:ascii="Times New Roman"/>
        </w:rPr>
      </w:pPr>
      <w:r>
        <w:rPr>
          <w:rFonts w:ascii="Times New Roman"/>
        </w:rPr>
        <w:t>[2] 20th WMO/IAEA Meeting on Carbon Dioxide</w:t>
      </w:r>
      <w:r>
        <w:rPr>
          <w:rFonts w:hint="eastAsia" w:ascii="Times New Roman"/>
        </w:rPr>
        <w:t>.</w:t>
      </w:r>
      <w:r>
        <w:rPr>
          <w:rFonts w:ascii="Times New Roman"/>
        </w:rPr>
        <w:t xml:space="preserve"> Other Greenhouse Gases and Related Measurement Techniques (GGMT-2019).</w:t>
      </w:r>
    </w:p>
    <w:p w14:paraId="0AF04421">
      <w:pPr>
        <w:pStyle w:val="230"/>
        <w:ind w:firstLine="0" w:firstLineChars="0"/>
        <w:rPr>
          <w:rFonts w:ascii="Times New Roman"/>
        </w:rPr>
      </w:pPr>
      <w:r>
        <w:rPr>
          <w:rFonts w:ascii="Times New Roman"/>
        </w:rPr>
        <w:t>[3] Irwin J S. Estimating plume dispersion-a recommended generalized scheme. Fourth Symp. Turbulence. Diffusion, Air Pollut. Reno, Nevada Am Met Soc, 1979. 62-69.</w:t>
      </w:r>
    </w:p>
    <w:p w14:paraId="402F0055">
      <w:pPr>
        <w:pStyle w:val="230"/>
        <w:ind w:firstLine="0" w:firstLineChars="0"/>
        <w:rPr>
          <w:rFonts w:ascii="Times New Roman"/>
        </w:rPr>
      </w:pPr>
      <w:r>
        <w:rPr>
          <w:rFonts w:ascii="Times New Roman"/>
        </w:rPr>
        <w:t>[4] O'Doherty S, Simmonds P, Cunnold D, et al. In situ chloroform measurements at Advanced Global  Atmospheric Gases Experiment atmospheric research stations from 1994 to 1998. Journal of Geophysical  Research: Atmospheres, 2001,106(D17):20429-20444.</w:t>
      </w:r>
    </w:p>
    <w:p w14:paraId="5DE85440">
      <w:pPr>
        <w:pStyle w:val="230"/>
        <w:ind w:firstLine="0" w:firstLineChars="0"/>
        <w:rPr>
          <w:rFonts w:ascii="Times New Roman"/>
        </w:rPr>
      </w:pPr>
      <w:r>
        <w:rPr>
          <w:rFonts w:ascii="Times New Roman"/>
        </w:rPr>
        <w:t>[5] Pu J J, Xu H H, He J, et al. Estimation of regional background concentration of CO</w:t>
      </w:r>
      <w:r>
        <w:rPr>
          <w:rFonts w:ascii="Times New Roman"/>
          <w:vertAlign w:val="subscript"/>
        </w:rPr>
        <w:t>2</w:t>
      </w:r>
      <w:r>
        <w:rPr>
          <w:rFonts w:ascii="Times New Roman"/>
        </w:rPr>
        <w:t xml:space="preserve"> at Lin'an Station in  Yangtze River Delta, China. Atmospheric Environment, 2014,94:402-408.</w:t>
      </w:r>
    </w:p>
    <w:p w14:paraId="5769E2BE">
      <w:pPr>
        <w:pStyle w:val="230"/>
        <w:ind w:firstLine="0" w:firstLineChars="0"/>
        <w:rPr>
          <w:rFonts w:ascii="Times New Roman"/>
        </w:rPr>
      </w:pPr>
      <w:r>
        <w:rPr>
          <w:rFonts w:ascii="Times New Roman"/>
        </w:rPr>
        <w:t>[6] Ruckstuhl A F, Jacobson M P, Field R W, et al. Baseline subtraction using robust local regression estimation. Journal of Quantitative Spectroscopy &amp; Radiative Transfer, 2001, 68:179-193.</w:t>
      </w:r>
    </w:p>
    <w:p w14:paraId="1F14C4B6">
      <w:pPr>
        <w:pStyle w:val="230"/>
        <w:ind w:firstLine="0" w:firstLineChars="0"/>
        <w:rPr>
          <w:rFonts w:ascii="Times New Roman"/>
          <w:sz w:val="20"/>
        </w:rPr>
      </w:pPr>
      <w:r>
        <w:rPr>
          <w:rFonts w:ascii="Times New Roman"/>
        </w:rPr>
        <w:t xml:space="preserve">[7] Ruckstuhl A F, Henne S, Reimann S, et al. Robust extraction of baseline signal of atmospheric trace species using local regression. </w:t>
      </w:r>
      <w:r>
        <w:rPr>
          <w:rFonts w:ascii="Times New Roman"/>
          <w:sz w:val="20"/>
        </w:rPr>
        <w:t>Atmospheric Measurement Techniques, 2012, 5:2613–2624.</w:t>
      </w:r>
    </w:p>
    <w:p w14:paraId="7BE52E9E">
      <w:pPr>
        <w:pStyle w:val="230"/>
        <w:ind w:firstLine="0" w:firstLineChars="0"/>
      </w:pPr>
      <w:r>
        <w:rPr>
          <w:rFonts w:ascii="Times New Roman"/>
        </w:rPr>
        <w:t>[8] Thoning K W, Tans P P, Komhyr W D. Atmospheric carbon dioxide at Mauna Loa Observatory: 2. Analysis of the NOAA GMCC data, 1974–1985. Journal of Geophysical Research: Atmospheres, 1989, 94(D6):8549-8565</w:t>
      </w:r>
      <w:r>
        <w:t>.</w:t>
      </w:r>
    </w:p>
    <w:p w14:paraId="5CB6EC9A">
      <w:pPr>
        <w:pStyle w:val="230"/>
        <w:ind w:firstLine="0" w:firstLineChars="0"/>
        <w:rPr>
          <w:rFonts w:ascii="Times New Roman"/>
        </w:rPr>
      </w:pPr>
      <w:r>
        <w:rPr>
          <w:rFonts w:hint="eastAsia" w:ascii="Times New Roman"/>
        </w:rPr>
        <w:t>[</w:t>
      </w:r>
      <w:r>
        <w:rPr>
          <w:rFonts w:ascii="Times New Roman"/>
        </w:rPr>
        <w:t>9</w:t>
      </w:r>
      <w:r>
        <w:rPr>
          <w:rFonts w:hint="eastAsia" w:ascii="Times New Roman"/>
        </w:rPr>
        <w:t>]</w:t>
      </w:r>
      <w:r>
        <w:rPr>
          <w:rFonts w:ascii="Times New Roman"/>
        </w:rPr>
        <w:t xml:space="preserve"> </w:t>
      </w:r>
      <w:r>
        <w:rPr>
          <w:rFonts w:hint="eastAsia" w:ascii="Times New Roman"/>
        </w:rPr>
        <w:t>Vogelezang D H P, Holtslag A A M. Evaluation and model impacts of alternative boundary-layer height formulations. Bound</w:t>
      </w:r>
      <w:r>
        <w:rPr>
          <w:rFonts w:ascii="Times New Roman"/>
        </w:rPr>
        <w:t>ary-</w:t>
      </w:r>
      <w:r>
        <w:rPr>
          <w:rFonts w:hint="eastAsia" w:ascii="Times New Roman"/>
        </w:rPr>
        <w:t>Layer Meteor</w:t>
      </w:r>
      <w:r>
        <w:rPr>
          <w:rFonts w:ascii="Times New Roman"/>
        </w:rPr>
        <w:t>ology</w:t>
      </w:r>
      <w:r>
        <w:rPr>
          <w:rFonts w:hint="eastAsia" w:ascii="Times New Roman"/>
        </w:rPr>
        <w:t>, 1996</w:t>
      </w:r>
      <w:r>
        <w:rPr>
          <w:rFonts w:ascii="Times New Roman"/>
        </w:rPr>
        <w:t>,</w:t>
      </w:r>
      <w:r>
        <w:rPr>
          <w:rFonts w:hint="eastAsia" w:ascii="Times New Roman"/>
        </w:rPr>
        <w:t>81(3-4):</w:t>
      </w:r>
      <w:r>
        <w:rPr>
          <w:rFonts w:ascii="Times New Roman"/>
        </w:rPr>
        <w:t xml:space="preserve"> </w:t>
      </w:r>
      <w:r>
        <w:rPr>
          <w:rFonts w:hint="eastAsia" w:ascii="Times New Roman"/>
        </w:rPr>
        <w:t>245-269</w:t>
      </w:r>
      <w:r>
        <w:rPr>
          <w:rFonts w:ascii="Times New Roman"/>
        </w:rPr>
        <w:t>.</w:t>
      </w:r>
    </w:p>
    <w:p w14:paraId="50F84480">
      <w:pPr>
        <w:pStyle w:val="230"/>
        <w:ind w:firstLine="0" w:firstLineChars="0"/>
        <w:rPr>
          <w:rFonts w:ascii="Times New Roman"/>
        </w:rPr>
      </w:pPr>
      <w:r>
        <w:rPr>
          <w:rFonts w:ascii="Times New Roman"/>
        </w:rPr>
        <w:t>[10] Zhang F, Zhou L X. Implications for CO</w:t>
      </w:r>
      <w:r>
        <w:rPr>
          <w:rFonts w:ascii="Times New Roman"/>
          <w:vertAlign w:val="subscript"/>
        </w:rPr>
        <w:t>2</w:t>
      </w:r>
      <w:r>
        <w:rPr>
          <w:rFonts w:ascii="Times New Roman"/>
        </w:rPr>
        <w:t xml:space="preserve"> emissions and sinks changes in western China during 1995–2008  from atmospheric CO</w:t>
      </w:r>
      <w:r>
        <w:rPr>
          <w:rFonts w:ascii="Times New Roman"/>
          <w:vertAlign w:val="subscript"/>
        </w:rPr>
        <w:t>2</w:t>
      </w:r>
      <w:r>
        <w:rPr>
          <w:rFonts w:ascii="Times New Roman"/>
        </w:rPr>
        <w:t xml:space="preserve"> at Waliguan. Tellus B, 2013,65:1-14.</w:t>
      </w:r>
    </w:p>
    <w:p w14:paraId="02E6FB69">
      <w:pPr>
        <w:pStyle w:val="230"/>
        <w:ind w:firstLine="0" w:firstLineChars="0"/>
        <w:rPr>
          <w:rFonts w:ascii="Times New Roman"/>
        </w:rPr>
      </w:pPr>
      <w:r>
        <w:rPr>
          <w:rFonts w:hint="eastAsia" w:ascii="Times New Roman"/>
        </w:rPr>
        <w:t>[1</w:t>
      </w:r>
      <w:r>
        <w:rPr>
          <w:rFonts w:ascii="Times New Roman"/>
        </w:rPr>
        <w:t>1</w:t>
      </w:r>
      <w:r>
        <w:rPr>
          <w:rFonts w:hint="eastAsia" w:ascii="Times New Roman"/>
        </w:rPr>
        <w:t>]</w:t>
      </w:r>
      <w:r>
        <w:rPr>
          <w:rFonts w:ascii="Times New Roman"/>
        </w:rPr>
        <w:t xml:space="preserve"> </w:t>
      </w:r>
      <w:r>
        <w:rPr>
          <w:rFonts w:hint="eastAsia" w:ascii="Times New Roman"/>
        </w:rPr>
        <w:t>盛裴轩.</w:t>
      </w:r>
      <w:r>
        <w:rPr>
          <w:rFonts w:ascii="Times New Roman"/>
        </w:rPr>
        <w:t xml:space="preserve"> </w:t>
      </w:r>
      <w:r>
        <w:rPr>
          <w:rFonts w:hint="eastAsia" w:ascii="Times New Roman"/>
        </w:rPr>
        <w:t>大气物理学.</w:t>
      </w:r>
      <w:r>
        <w:rPr>
          <w:rFonts w:ascii="Times New Roman"/>
        </w:rPr>
        <w:t xml:space="preserve"> </w:t>
      </w:r>
      <w:r>
        <w:rPr>
          <w:rFonts w:hint="eastAsia" w:ascii="Times New Roman"/>
        </w:rPr>
        <w:t>北京大学出版社,</w:t>
      </w:r>
      <w:r>
        <w:rPr>
          <w:rFonts w:ascii="Times New Roman"/>
        </w:rPr>
        <w:t xml:space="preserve"> </w:t>
      </w:r>
      <w:r>
        <w:rPr>
          <w:rFonts w:hint="eastAsia" w:ascii="Times New Roman"/>
        </w:rPr>
        <w:t>2013.</w:t>
      </w:r>
    </w:p>
    <w:p w14:paraId="506C780F">
      <w:pPr>
        <w:pStyle w:val="230"/>
        <w:ind w:firstLine="0" w:firstLineChars="0"/>
        <w:rPr>
          <w:rFonts w:ascii="Times New Roman"/>
        </w:rPr>
      </w:pPr>
      <w:r>
        <w:rPr>
          <w:rFonts w:ascii="Times New Roman"/>
        </w:rPr>
        <w:t>[12] 中国气象局. 大气成分观测业务规范(试行). 北京:气象出版社, 2012.</w:t>
      </w:r>
    </w:p>
    <w:p w14:paraId="6C46B735">
      <w:pPr>
        <w:pStyle w:val="230"/>
        <w:ind w:firstLine="0" w:firstLineChars="0"/>
        <w:rPr>
          <w:rFonts w:ascii="Times New Roman"/>
        </w:rPr>
      </w:pPr>
      <w:r>
        <w:rPr>
          <w:rFonts w:ascii="Times New Roman"/>
        </w:rPr>
        <w:t>[13] 中国气象局综合观测司. 大气成分观测业务技术手册(第一分册:温室气体及相关微量成分). 北京: 气象出版社, 2014.</w:t>
      </w:r>
    </w:p>
    <w:bookmarkEnd w:id="83"/>
    <w:p w14:paraId="70558A06">
      <w:pPr>
        <w:pStyle w:val="230"/>
        <w:ind w:firstLine="0" w:firstLineChars="0"/>
        <w:rPr>
          <w:rFonts w:ascii="Times New Roman"/>
        </w:rPr>
      </w:pPr>
      <w:r>
        <w:rPr>
          <w:rFonts w:hint="eastAsia" w:ascii="Times New Roman"/>
        </w:rPr>
        <w:t>[</w:t>
      </w:r>
      <w:r>
        <w:rPr>
          <w:rFonts w:ascii="Times New Roman"/>
        </w:rPr>
        <w:t>14</w:t>
      </w:r>
      <w:r>
        <w:rPr>
          <w:rFonts w:hint="eastAsia" w:ascii="Times New Roman"/>
        </w:rPr>
        <w:t>]</w:t>
      </w:r>
      <w:r>
        <w:rPr>
          <w:rFonts w:ascii="Times New Roman"/>
        </w:rPr>
        <w:t xml:space="preserve"> </w:t>
      </w:r>
      <w:r>
        <w:rPr>
          <w:rFonts w:hint="eastAsia" w:ascii="Times New Roman"/>
        </w:rPr>
        <w:t>周凌晞,汤洁,温玉璞,等.</w:t>
      </w:r>
      <w:r>
        <w:rPr>
          <w:rFonts w:ascii="Times New Roman"/>
        </w:rPr>
        <w:t xml:space="preserve"> </w:t>
      </w:r>
      <w:r>
        <w:rPr>
          <w:rFonts w:hint="eastAsia" w:ascii="Times New Roman"/>
        </w:rPr>
        <w:t>地面风对瓦里关山大气CO</w:t>
      </w:r>
      <w:r>
        <w:rPr>
          <w:rFonts w:hint="eastAsia" w:ascii="Times New Roman"/>
          <w:vertAlign w:val="subscript"/>
        </w:rPr>
        <w:t>2</w:t>
      </w:r>
      <w:r>
        <w:rPr>
          <w:rFonts w:hint="eastAsia" w:ascii="Times New Roman"/>
        </w:rPr>
        <w:t>本底浓度的影响分析.</w:t>
      </w:r>
      <w:r>
        <w:rPr>
          <w:rFonts w:ascii="Times New Roman"/>
        </w:rPr>
        <w:t xml:space="preserve"> </w:t>
      </w:r>
      <w:r>
        <w:rPr>
          <w:rFonts w:hint="eastAsia" w:ascii="Times New Roman"/>
        </w:rPr>
        <w:t>环境科学学报, 2002, 22(2):135-139.</w:t>
      </w:r>
    </w:p>
    <w:p w14:paraId="4F58B3B3">
      <w:pPr>
        <w:pStyle w:val="230"/>
        <w:ind w:firstLine="0" w:firstLineChars="0"/>
        <w:rPr>
          <w:rFonts w:ascii="Times New Roman"/>
        </w:rPr>
      </w:pPr>
      <w:r>
        <w:rPr>
          <w:rFonts w:hint="eastAsia" w:ascii="Times New Roman"/>
        </w:rPr>
        <w:t>[</w:t>
      </w:r>
      <w:r>
        <w:rPr>
          <w:rFonts w:ascii="Times New Roman"/>
        </w:rPr>
        <w:t>15</w:t>
      </w:r>
      <w:r>
        <w:rPr>
          <w:rFonts w:hint="eastAsia" w:ascii="Times New Roman"/>
        </w:rPr>
        <w:t>]</w:t>
      </w:r>
      <w:r>
        <w:rPr>
          <w:rFonts w:ascii="Times New Roman"/>
        </w:rPr>
        <w:t xml:space="preserve"> </w:t>
      </w:r>
      <w:r>
        <w:rPr>
          <w:rFonts w:hint="eastAsia" w:ascii="Times New Roman"/>
        </w:rPr>
        <w:t>周凌晞,温玉璞,李金龙,等.</w:t>
      </w:r>
      <w:r>
        <w:rPr>
          <w:rFonts w:ascii="Times New Roman"/>
        </w:rPr>
        <w:t xml:space="preserve"> </w:t>
      </w:r>
      <w:bookmarkStart w:id="84" w:name="OLE_LINK2"/>
      <w:bookmarkStart w:id="85" w:name="OLE_LINK1"/>
      <w:r>
        <w:rPr>
          <w:rFonts w:hint="eastAsia" w:ascii="Times New Roman"/>
        </w:rPr>
        <w:t>地面风对瓦里关山大气CH</w:t>
      </w:r>
      <w:r>
        <w:rPr>
          <w:rFonts w:hint="eastAsia" w:ascii="Times New Roman"/>
          <w:vertAlign w:val="subscript"/>
        </w:rPr>
        <w:t>4</w:t>
      </w:r>
      <w:r>
        <w:rPr>
          <w:rFonts w:hint="eastAsia" w:ascii="Times New Roman"/>
        </w:rPr>
        <w:t>本底浓度的影响分析</w:t>
      </w:r>
      <w:bookmarkEnd w:id="84"/>
      <w:bookmarkEnd w:id="85"/>
      <w:r>
        <w:rPr>
          <w:rFonts w:hint="eastAsia" w:ascii="Times New Roman"/>
        </w:rPr>
        <w:t>.</w:t>
      </w:r>
      <w:r>
        <w:rPr>
          <w:rFonts w:ascii="Times New Roman"/>
        </w:rPr>
        <w:t xml:space="preserve"> </w:t>
      </w:r>
      <w:r>
        <w:rPr>
          <w:rFonts w:hint="eastAsia" w:ascii="Times New Roman"/>
        </w:rPr>
        <w:t>应用气象学报,</w:t>
      </w:r>
      <w:r>
        <w:rPr>
          <w:rFonts w:ascii="Times New Roman"/>
        </w:rPr>
        <w:t xml:space="preserve"> 2004,15(3):257-265</w:t>
      </w:r>
      <w:r>
        <w:rPr>
          <w:rFonts w:hint="eastAsia" w:ascii="Times New Roman"/>
        </w:rPr>
        <w:t>.</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E475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021E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67EB5">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03E3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ED15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5DCD4">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A965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3544"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212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3827"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3969"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559"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IphjX67dZu9Ojaq7vMJ747CXPAmKycPsvg47O2u4cT/V81Evy/XdeayfsM2SddAAJgOk/DJDJRMfdLAMmopTuw==" w:salt="BQCO0jg6t2T/laOKNQ+WQ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716844"/>
    <w:rsid w:val="0000040A"/>
    <w:rsid w:val="00000949"/>
    <w:rsid w:val="00000A94"/>
    <w:rsid w:val="00000DD6"/>
    <w:rsid w:val="00001972"/>
    <w:rsid w:val="00001D9A"/>
    <w:rsid w:val="0000421E"/>
    <w:rsid w:val="0000532A"/>
    <w:rsid w:val="00005896"/>
    <w:rsid w:val="00005ACD"/>
    <w:rsid w:val="00006CF4"/>
    <w:rsid w:val="00007B3A"/>
    <w:rsid w:val="000107E0"/>
    <w:rsid w:val="00010985"/>
    <w:rsid w:val="00011FDE"/>
    <w:rsid w:val="00012300"/>
    <w:rsid w:val="0001294D"/>
    <w:rsid w:val="00012FFD"/>
    <w:rsid w:val="00013245"/>
    <w:rsid w:val="00014162"/>
    <w:rsid w:val="00014340"/>
    <w:rsid w:val="00014FD9"/>
    <w:rsid w:val="0001558C"/>
    <w:rsid w:val="000159B1"/>
    <w:rsid w:val="00016A9C"/>
    <w:rsid w:val="000174E1"/>
    <w:rsid w:val="00020C83"/>
    <w:rsid w:val="00021296"/>
    <w:rsid w:val="000216A0"/>
    <w:rsid w:val="00022184"/>
    <w:rsid w:val="00022762"/>
    <w:rsid w:val="000238E0"/>
    <w:rsid w:val="000249DB"/>
    <w:rsid w:val="00024B3D"/>
    <w:rsid w:val="00024F15"/>
    <w:rsid w:val="0002595E"/>
    <w:rsid w:val="00025CD0"/>
    <w:rsid w:val="000303C3"/>
    <w:rsid w:val="000307C9"/>
    <w:rsid w:val="00033090"/>
    <w:rsid w:val="000331D3"/>
    <w:rsid w:val="00033BE2"/>
    <w:rsid w:val="000346A5"/>
    <w:rsid w:val="00034827"/>
    <w:rsid w:val="00035296"/>
    <w:rsid w:val="000359C3"/>
    <w:rsid w:val="00035A7D"/>
    <w:rsid w:val="000365ED"/>
    <w:rsid w:val="00036E60"/>
    <w:rsid w:val="0004249A"/>
    <w:rsid w:val="00043282"/>
    <w:rsid w:val="00043E5F"/>
    <w:rsid w:val="00044286"/>
    <w:rsid w:val="000447E1"/>
    <w:rsid w:val="00044E47"/>
    <w:rsid w:val="00047092"/>
    <w:rsid w:val="00047F28"/>
    <w:rsid w:val="000503AA"/>
    <w:rsid w:val="000506A1"/>
    <w:rsid w:val="000515DD"/>
    <w:rsid w:val="00051DAA"/>
    <w:rsid w:val="0005265A"/>
    <w:rsid w:val="00053672"/>
    <w:rsid w:val="0005387B"/>
    <w:rsid w:val="000539DD"/>
    <w:rsid w:val="00053BD3"/>
    <w:rsid w:val="000542AA"/>
    <w:rsid w:val="000549DA"/>
    <w:rsid w:val="000556ED"/>
    <w:rsid w:val="00055707"/>
    <w:rsid w:val="000559E3"/>
    <w:rsid w:val="00055FE2"/>
    <w:rsid w:val="0005616F"/>
    <w:rsid w:val="00060C2E"/>
    <w:rsid w:val="00061033"/>
    <w:rsid w:val="000619E9"/>
    <w:rsid w:val="000622D4"/>
    <w:rsid w:val="00062ED2"/>
    <w:rsid w:val="0006357D"/>
    <w:rsid w:val="00063791"/>
    <w:rsid w:val="00063F8E"/>
    <w:rsid w:val="00067E61"/>
    <w:rsid w:val="00067F1E"/>
    <w:rsid w:val="000706FA"/>
    <w:rsid w:val="00070F62"/>
    <w:rsid w:val="00071CC0"/>
    <w:rsid w:val="0007281A"/>
    <w:rsid w:val="00073C8C"/>
    <w:rsid w:val="00076161"/>
    <w:rsid w:val="00077B64"/>
    <w:rsid w:val="00077DD0"/>
    <w:rsid w:val="00080A1C"/>
    <w:rsid w:val="00082317"/>
    <w:rsid w:val="00083D2C"/>
    <w:rsid w:val="00083F61"/>
    <w:rsid w:val="0008686A"/>
    <w:rsid w:val="00086AA1"/>
    <w:rsid w:val="00087A77"/>
    <w:rsid w:val="00087B7D"/>
    <w:rsid w:val="00090CA6"/>
    <w:rsid w:val="0009294D"/>
    <w:rsid w:val="00092B8A"/>
    <w:rsid w:val="00092FB0"/>
    <w:rsid w:val="000934C5"/>
    <w:rsid w:val="00093D25"/>
    <w:rsid w:val="00093DAB"/>
    <w:rsid w:val="00094D73"/>
    <w:rsid w:val="0009581F"/>
    <w:rsid w:val="00096D63"/>
    <w:rsid w:val="00096EC6"/>
    <w:rsid w:val="000A0453"/>
    <w:rsid w:val="000A0B60"/>
    <w:rsid w:val="000A0EB8"/>
    <w:rsid w:val="000A131B"/>
    <w:rsid w:val="000A19FC"/>
    <w:rsid w:val="000A1C8E"/>
    <w:rsid w:val="000A1CF1"/>
    <w:rsid w:val="000A296B"/>
    <w:rsid w:val="000A2C0D"/>
    <w:rsid w:val="000A45D7"/>
    <w:rsid w:val="000A4EC6"/>
    <w:rsid w:val="000A4F1C"/>
    <w:rsid w:val="000A7311"/>
    <w:rsid w:val="000A79CB"/>
    <w:rsid w:val="000B00A8"/>
    <w:rsid w:val="000B060F"/>
    <w:rsid w:val="000B1592"/>
    <w:rsid w:val="000B1FF2"/>
    <w:rsid w:val="000B2069"/>
    <w:rsid w:val="000B2B2E"/>
    <w:rsid w:val="000B3CDA"/>
    <w:rsid w:val="000B6A0B"/>
    <w:rsid w:val="000B7922"/>
    <w:rsid w:val="000B7BD1"/>
    <w:rsid w:val="000B7F59"/>
    <w:rsid w:val="000C0F6C"/>
    <w:rsid w:val="000C11DB"/>
    <w:rsid w:val="000C1492"/>
    <w:rsid w:val="000C2FBD"/>
    <w:rsid w:val="000C3BFB"/>
    <w:rsid w:val="000C4B41"/>
    <w:rsid w:val="000C57D6"/>
    <w:rsid w:val="000C6362"/>
    <w:rsid w:val="000C7666"/>
    <w:rsid w:val="000C7C1F"/>
    <w:rsid w:val="000D0A9C"/>
    <w:rsid w:val="000D0E23"/>
    <w:rsid w:val="000D1795"/>
    <w:rsid w:val="000D329A"/>
    <w:rsid w:val="000D3C1A"/>
    <w:rsid w:val="000D4B9C"/>
    <w:rsid w:val="000D4EB6"/>
    <w:rsid w:val="000D648B"/>
    <w:rsid w:val="000D753B"/>
    <w:rsid w:val="000E1D2C"/>
    <w:rsid w:val="000E2012"/>
    <w:rsid w:val="000E4C9E"/>
    <w:rsid w:val="000E6502"/>
    <w:rsid w:val="000E6FD7"/>
    <w:rsid w:val="000E7D1E"/>
    <w:rsid w:val="000F06E1"/>
    <w:rsid w:val="000F0E3C"/>
    <w:rsid w:val="000F0EA4"/>
    <w:rsid w:val="000F19D5"/>
    <w:rsid w:val="000F33C2"/>
    <w:rsid w:val="000F4AEA"/>
    <w:rsid w:val="000F633F"/>
    <w:rsid w:val="000F67E9"/>
    <w:rsid w:val="000F6EDF"/>
    <w:rsid w:val="000F7B81"/>
    <w:rsid w:val="00100008"/>
    <w:rsid w:val="00100164"/>
    <w:rsid w:val="0010044C"/>
    <w:rsid w:val="00100715"/>
    <w:rsid w:val="00101268"/>
    <w:rsid w:val="001016CD"/>
    <w:rsid w:val="001016ED"/>
    <w:rsid w:val="00102915"/>
    <w:rsid w:val="00104926"/>
    <w:rsid w:val="00104D26"/>
    <w:rsid w:val="00107709"/>
    <w:rsid w:val="001077FD"/>
    <w:rsid w:val="00107DF6"/>
    <w:rsid w:val="001120DE"/>
    <w:rsid w:val="00113B1E"/>
    <w:rsid w:val="0011441E"/>
    <w:rsid w:val="0011711C"/>
    <w:rsid w:val="0012039D"/>
    <w:rsid w:val="0012059C"/>
    <w:rsid w:val="00120CD5"/>
    <w:rsid w:val="00122919"/>
    <w:rsid w:val="001231FD"/>
    <w:rsid w:val="00124E4F"/>
    <w:rsid w:val="001260B7"/>
    <w:rsid w:val="001265CB"/>
    <w:rsid w:val="00127189"/>
    <w:rsid w:val="00131112"/>
    <w:rsid w:val="001321C6"/>
    <w:rsid w:val="001325C4"/>
    <w:rsid w:val="00133010"/>
    <w:rsid w:val="001338EE"/>
    <w:rsid w:val="00133AAE"/>
    <w:rsid w:val="001345A4"/>
    <w:rsid w:val="001351FA"/>
    <w:rsid w:val="00135323"/>
    <w:rsid w:val="001356C4"/>
    <w:rsid w:val="00140147"/>
    <w:rsid w:val="00140AE4"/>
    <w:rsid w:val="00140D14"/>
    <w:rsid w:val="00141114"/>
    <w:rsid w:val="0014183D"/>
    <w:rsid w:val="00142969"/>
    <w:rsid w:val="00142EED"/>
    <w:rsid w:val="001446C2"/>
    <w:rsid w:val="001457E7"/>
    <w:rsid w:val="00145A81"/>
    <w:rsid w:val="00145D9D"/>
    <w:rsid w:val="00146388"/>
    <w:rsid w:val="00151D84"/>
    <w:rsid w:val="001529E5"/>
    <w:rsid w:val="00153C7E"/>
    <w:rsid w:val="00154E53"/>
    <w:rsid w:val="00156B25"/>
    <w:rsid w:val="00156E1A"/>
    <w:rsid w:val="00157894"/>
    <w:rsid w:val="00157B55"/>
    <w:rsid w:val="0016052D"/>
    <w:rsid w:val="00160ED4"/>
    <w:rsid w:val="00163CBC"/>
    <w:rsid w:val="00163D77"/>
    <w:rsid w:val="001642FA"/>
    <w:rsid w:val="001649EB"/>
    <w:rsid w:val="00164BAF"/>
    <w:rsid w:val="00164FA8"/>
    <w:rsid w:val="00165065"/>
    <w:rsid w:val="00165434"/>
    <w:rsid w:val="0016580B"/>
    <w:rsid w:val="00165F49"/>
    <w:rsid w:val="00166B88"/>
    <w:rsid w:val="00167069"/>
    <w:rsid w:val="0016770A"/>
    <w:rsid w:val="001678C3"/>
    <w:rsid w:val="00167FEC"/>
    <w:rsid w:val="00170804"/>
    <w:rsid w:val="001708E9"/>
    <w:rsid w:val="001715C6"/>
    <w:rsid w:val="0017177C"/>
    <w:rsid w:val="0017340B"/>
    <w:rsid w:val="00173BFB"/>
    <w:rsid w:val="00173FB1"/>
    <w:rsid w:val="001740A8"/>
    <w:rsid w:val="00176DFD"/>
    <w:rsid w:val="0018081A"/>
    <w:rsid w:val="0018287F"/>
    <w:rsid w:val="0018420B"/>
    <w:rsid w:val="001852C9"/>
    <w:rsid w:val="00185444"/>
    <w:rsid w:val="00190087"/>
    <w:rsid w:val="001913C4"/>
    <w:rsid w:val="0019348F"/>
    <w:rsid w:val="00193A07"/>
    <w:rsid w:val="00194C95"/>
    <w:rsid w:val="00195271"/>
    <w:rsid w:val="00195C34"/>
    <w:rsid w:val="0019679C"/>
    <w:rsid w:val="00196EF5"/>
    <w:rsid w:val="001A1A53"/>
    <w:rsid w:val="001A2219"/>
    <w:rsid w:val="001A234A"/>
    <w:rsid w:val="001A302B"/>
    <w:rsid w:val="001A331B"/>
    <w:rsid w:val="001A436E"/>
    <w:rsid w:val="001A4CF3"/>
    <w:rsid w:val="001A5848"/>
    <w:rsid w:val="001A644A"/>
    <w:rsid w:val="001B06E8"/>
    <w:rsid w:val="001B1F80"/>
    <w:rsid w:val="001B4B00"/>
    <w:rsid w:val="001B5BF6"/>
    <w:rsid w:val="001B60CE"/>
    <w:rsid w:val="001B7164"/>
    <w:rsid w:val="001B71D0"/>
    <w:rsid w:val="001B71EE"/>
    <w:rsid w:val="001B7332"/>
    <w:rsid w:val="001C04A8"/>
    <w:rsid w:val="001C2C03"/>
    <w:rsid w:val="001C42F7"/>
    <w:rsid w:val="001C49E5"/>
    <w:rsid w:val="001C4AA4"/>
    <w:rsid w:val="001C5C80"/>
    <w:rsid w:val="001C680C"/>
    <w:rsid w:val="001C746C"/>
    <w:rsid w:val="001C7775"/>
    <w:rsid w:val="001C7FEA"/>
    <w:rsid w:val="001D037F"/>
    <w:rsid w:val="001D0499"/>
    <w:rsid w:val="001D0BBE"/>
    <w:rsid w:val="001D0ED4"/>
    <w:rsid w:val="001D18C4"/>
    <w:rsid w:val="001D212F"/>
    <w:rsid w:val="001D29D7"/>
    <w:rsid w:val="001D2DE7"/>
    <w:rsid w:val="001D411A"/>
    <w:rsid w:val="001D411C"/>
    <w:rsid w:val="001D54B4"/>
    <w:rsid w:val="001D5825"/>
    <w:rsid w:val="001E1B6A"/>
    <w:rsid w:val="001E2484"/>
    <w:rsid w:val="001E3CC4"/>
    <w:rsid w:val="001E4882"/>
    <w:rsid w:val="001E73AB"/>
    <w:rsid w:val="001F092D"/>
    <w:rsid w:val="001F143A"/>
    <w:rsid w:val="001F1605"/>
    <w:rsid w:val="001F1869"/>
    <w:rsid w:val="001F1B65"/>
    <w:rsid w:val="001F1EBF"/>
    <w:rsid w:val="001F2508"/>
    <w:rsid w:val="001F4816"/>
    <w:rsid w:val="001F4EE9"/>
    <w:rsid w:val="001F4F9C"/>
    <w:rsid w:val="001F69B4"/>
    <w:rsid w:val="001F6FA1"/>
    <w:rsid w:val="001F6FE9"/>
    <w:rsid w:val="001F77C7"/>
    <w:rsid w:val="00200183"/>
    <w:rsid w:val="00200333"/>
    <w:rsid w:val="002006CD"/>
    <w:rsid w:val="00200A1F"/>
    <w:rsid w:val="0020107D"/>
    <w:rsid w:val="00202884"/>
    <w:rsid w:val="00202AA4"/>
    <w:rsid w:val="00202E7E"/>
    <w:rsid w:val="002031F7"/>
    <w:rsid w:val="002040E6"/>
    <w:rsid w:val="0020527B"/>
    <w:rsid w:val="00205F2C"/>
    <w:rsid w:val="0020656A"/>
    <w:rsid w:val="00207301"/>
    <w:rsid w:val="00207520"/>
    <w:rsid w:val="00207BB2"/>
    <w:rsid w:val="00210B15"/>
    <w:rsid w:val="002142EA"/>
    <w:rsid w:val="002164B9"/>
    <w:rsid w:val="002204BB"/>
    <w:rsid w:val="002210F1"/>
    <w:rsid w:val="00221B79"/>
    <w:rsid w:val="00221C6B"/>
    <w:rsid w:val="002245C0"/>
    <w:rsid w:val="00225115"/>
    <w:rsid w:val="00225126"/>
    <w:rsid w:val="002253A1"/>
    <w:rsid w:val="002258D9"/>
    <w:rsid w:val="00225CF8"/>
    <w:rsid w:val="00226A9D"/>
    <w:rsid w:val="00226BBD"/>
    <w:rsid w:val="00226BC4"/>
    <w:rsid w:val="0022794E"/>
    <w:rsid w:val="002320C9"/>
    <w:rsid w:val="00232687"/>
    <w:rsid w:val="00233D64"/>
    <w:rsid w:val="0023482A"/>
    <w:rsid w:val="002359CB"/>
    <w:rsid w:val="00237ABC"/>
    <w:rsid w:val="00237F55"/>
    <w:rsid w:val="00242B54"/>
    <w:rsid w:val="0024321D"/>
    <w:rsid w:val="00243540"/>
    <w:rsid w:val="0024497B"/>
    <w:rsid w:val="00244DA1"/>
    <w:rsid w:val="0024515B"/>
    <w:rsid w:val="0024542C"/>
    <w:rsid w:val="00246021"/>
    <w:rsid w:val="002465D3"/>
    <w:rsid w:val="0024666E"/>
    <w:rsid w:val="00247015"/>
    <w:rsid w:val="00247DF3"/>
    <w:rsid w:val="00247F52"/>
    <w:rsid w:val="00250B25"/>
    <w:rsid w:val="00250BBE"/>
    <w:rsid w:val="002515C2"/>
    <w:rsid w:val="0025194F"/>
    <w:rsid w:val="00252169"/>
    <w:rsid w:val="0025282A"/>
    <w:rsid w:val="002547AB"/>
    <w:rsid w:val="0026148A"/>
    <w:rsid w:val="00261F1D"/>
    <w:rsid w:val="00262696"/>
    <w:rsid w:val="00262BE9"/>
    <w:rsid w:val="002635B8"/>
    <w:rsid w:val="00263D25"/>
    <w:rsid w:val="00263E6B"/>
    <w:rsid w:val="002642C7"/>
    <w:rsid w:val="002643C3"/>
    <w:rsid w:val="00264A0C"/>
    <w:rsid w:val="00264E39"/>
    <w:rsid w:val="00265A1C"/>
    <w:rsid w:val="00266EEB"/>
    <w:rsid w:val="00267EF4"/>
    <w:rsid w:val="00270CB8"/>
    <w:rsid w:val="00272B08"/>
    <w:rsid w:val="002771AC"/>
    <w:rsid w:val="00280C48"/>
    <w:rsid w:val="00280E8C"/>
    <w:rsid w:val="00281BB8"/>
    <w:rsid w:val="00281E9E"/>
    <w:rsid w:val="00282405"/>
    <w:rsid w:val="002833C4"/>
    <w:rsid w:val="00285170"/>
    <w:rsid w:val="00285361"/>
    <w:rsid w:val="00292D60"/>
    <w:rsid w:val="0029376B"/>
    <w:rsid w:val="00293B30"/>
    <w:rsid w:val="00294D34"/>
    <w:rsid w:val="00294E3B"/>
    <w:rsid w:val="00296129"/>
    <w:rsid w:val="00296193"/>
    <w:rsid w:val="00296438"/>
    <w:rsid w:val="00296C66"/>
    <w:rsid w:val="00296EBE"/>
    <w:rsid w:val="002974E3"/>
    <w:rsid w:val="002A05EA"/>
    <w:rsid w:val="002A084B"/>
    <w:rsid w:val="002A1080"/>
    <w:rsid w:val="002A1260"/>
    <w:rsid w:val="002A14B2"/>
    <w:rsid w:val="002A1589"/>
    <w:rsid w:val="002A1608"/>
    <w:rsid w:val="002A21E9"/>
    <w:rsid w:val="002A25DC"/>
    <w:rsid w:val="002A373E"/>
    <w:rsid w:val="002A3AAB"/>
    <w:rsid w:val="002A4CEA"/>
    <w:rsid w:val="002A4D73"/>
    <w:rsid w:val="002A4E39"/>
    <w:rsid w:val="002A5977"/>
    <w:rsid w:val="002A5A13"/>
    <w:rsid w:val="002A5B80"/>
    <w:rsid w:val="002A757F"/>
    <w:rsid w:val="002A7F44"/>
    <w:rsid w:val="002B0536"/>
    <w:rsid w:val="002B0C40"/>
    <w:rsid w:val="002B0D28"/>
    <w:rsid w:val="002B1966"/>
    <w:rsid w:val="002B399B"/>
    <w:rsid w:val="002B4508"/>
    <w:rsid w:val="002B5779"/>
    <w:rsid w:val="002B7332"/>
    <w:rsid w:val="002B7F51"/>
    <w:rsid w:val="002C09E7"/>
    <w:rsid w:val="002C0BFF"/>
    <w:rsid w:val="002C0E17"/>
    <w:rsid w:val="002C0FDB"/>
    <w:rsid w:val="002C0FDE"/>
    <w:rsid w:val="002C1E06"/>
    <w:rsid w:val="002C1E1C"/>
    <w:rsid w:val="002C330C"/>
    <w:rsid w:val="002C3719"/>
    <w:rsid w:val="002C3729"/>
    <w:rsid w:val="002C3E1A"/>
    <w:rsid w:val="002C3F07"/>
    <w:rsid w:val="002C42BD"/>
    <w:rsid w:val="002C5278"/>
    <w:rsid w:val="002C78A2"/>
    <w:rsid w:val="002C7EBB"/>
    <w:rsid w:val="002D06C1"/>
    <w:rsid w:val="002D0CFD"/>
    <w:rsid w:val="002D2634"/>
    <w:rsid w:val="002D2C19"/>
    <w:rsid w:val="002D42B5"/>
    <w:rsid w:val="002D4F1A"/>
    <w:rsid w:val="002D6134"/>
    <w:rsid w:val="002D6BA4"/>
    <w:rsid w:val="002D6EC6"/>
    <w:rsid w:val="002D79AC"/>
    <w:rsid w:val="002D7BDD"/>
    <w:rsid w:val="002E039D"/>
    <w:rsid w:val="002E4D5A"/>
    <w:rsid w:val="002E4E10"/>
    <w:rsid w:val="002E6326"/>
    <w:rsid w:val="002E75C9"/>
    <w:rsid w:val="002F1EBE"/>
    <w:rsid w:val="002F222B"/>
    <w:rsid w:val="002F30E0"/>
    <w:rsid w:val="002F34DB"/>
    <w:rsid w:val="002F35E4"/>
    <w:rsid w:val="002F3730"/>
    <w:rsid w:val="002F38E1"/>
    <w:rsid w:val="002F5520"/>
    <w:rsid w:val="002F7AF6"/>
    <w:rsid w:val="00300C37"/>
    <w:rsid w:val="00300E63"/>
    <w:rsid w:val="00302F5F"/>
    <w:rsid w:val="0030410D"/>
    <w:rsid w:val="0030441D"/>
    <w:rsid w:val="003053EE"/>
    <w:rsid w:val="00306063"/>
    <w:rsid w:val="00306992"/>
    <w:rsid w:val="00307426"/>
    <w:rsid w:val="00307A50"/>
    <w:rsid w:val="00307F61"/>
    <w:rsid w:val="003128EC"/>
    <w:rsid w:val="00312C15"/>
    <w:rsid w:val="00313AE0"/>
    <w:rsid w:val="00313B85"/>
    <w:rsid w:val="0031449F"/>
    <w:rsid w:val="003149D5"/>
    <w:rsid w:val="00314FD1"/>
    <w:rsid w:val="003178C5"/>
    <w:rsid w:val="00317988"/>
    <w:rsid w:val="00317FB7"/>
    <w:rsid w:val="00317FF3"/>
    <w:rsid w:val="003221B4"/>
    <w:rsid w:val="0032258D"/>
    <w:rsid w:val="00322E62"/>
    <w:rsid w:val="00323C00"/>
    <w:rsid w:val="003241A6"/>
    <w:rsid w:val="003241FC"/>
    <w:rsid w:val="00324D13"/>
    <w:rsid w:val="00324D2A"/>
    <w:rsid w:val="00324EDD"/>
    <w:rsid w:val="00327F43"/>
    <w:rsid w:val="003321E2"/>
    <w:rsid w:val="003331E4"/>
    <w:rsid w:val="00336C64"/>
    <w:rsid w:val="00336DD6"/>
    <w:rsid w:val="00337162"/>
    <w:rsid w:val="003373AA"/>
    <w:rsid w:val="00337734"/>
    <w:rsid w:val="0034194F"/>
    <w:rsid w:val="00343F9F"/>
    <w:rsid w:val="00344605"/>
    <w:rsid w:val="00344B01"/>
    <w:rsid w:val="003455A7"/>
    <w:rsid w:val="003474AA"/>
    <w:rsid w:val="00350D1D"/>
    <w:rsid w:val="0035244C"/>
    <w:rsid w:val="00352C83"/>
    <w:rsid w:val="00353DD1"/>
    <w:rsid w:val="00353EAA"/>
    <w:rsid w:val="003542CE"/>
    <w:rsid w:val="0035532F"/>
    <w:rsid w:val="00360828"/>
    <w:rsid w:val="00360910"/>
    <w:rsid w:val="003615D2"/>
    <w:rsid w:val="003615EC"/>
    <w:rsid w:val="00361E50"/>
    <w:rsid w:val="003632B7"/>
    <w:rsid w:val="0036429C"/>
    <w:rsid w:val="003646CC"/>
    <w:rsid w:val="00364A53"/>
    <w:rsid w:val="003654CB"/>
    <w:rsid w:val="003657E4"/>
    <w:rsid w:val="00365AA9"/>
    <w:rsid w:val="00365F86"/>
    <w:rsid w:val="00365F87"/>
    <w:rsid w:val="00366B44"/>
    <w:rsid w:val="00366E89"/>
    <w:rsid w:val="003703F9"/>
    <w:rsid w:val="003705F4"/>
    <w:rsid w:val="00370D58"/>
    <w:rsid w:val="00371316"/>
    <w:rsid w:val="00372F47"/>
    <w:rsid w:val="00374514"/>
    <w:rsid w:val="00376713"/>
    <w:rsid w:val="00376B50"/>
    <w:rsid w:val="00380352"/>
    <w:rsid w:val="003813DD"/>
    <w:rsid w:val="00381815"/>
    <w:rsid w:val="003819AF"/>
    <w:rsid w:val="003820E9"/>
    <w:rsid w:val="0038259A"/>
    <w:rsid w:val="00382DE7"/>
    <w:rsid w:val="00384FFC"/>
    <w:rsid w:val="00386E0A"/>
    <w:rsid w:val="003872FC"/>
    <w:rsid w:val="00387ADC"/>
    <w:rsid w:val="00390003"/>
    <w:rsid w:val="00390020"/>
    <w:rsid w:val="003903D6"/>
    <w:rsid w:val="00390EE6"/>
    <w:rsid w:val="0039118F"/>
    <w:rsid w:val="003916D9"/>
    <w:rsid w:val="00392AD7"/>
    <w:rsid w:val="003930E5"/>
    <w:rsid w:val="003938D9"/>
    <w:rsid w:val="00393FB8"/>
    <w:rsid w:val="00394376"/>
    <w:rsid w:val="003943FF"/>
    <w:rsid w:val="00395700"/>
    <w:rsid w:val="003974EB"/>
    <w:rsid w:val="00397CC5"/>
    <w:rsid w:val="003A1582"/>
    <w:rsid w:val="003A19FC"/>
    <w:rsid w:val="003A3605"/>
    <w:rsid w:val="003A4077"/>
    <w:rsid w:val="003A5589"/>
    <w:rsid w:val="003A7FDA"/>
    <w:rsid w:val="003B009B"/>
    <w:rsid w:val="003B09AD"/>
    <w:rsid w:val="003B1C98"/>
    <w:rsid w:val="003B1DED"/>
    <w:rsid w:val="003B1F18"/>
    <w:rsid w:val="003B29B7"/>
    <w:rsid w:val="003B38F7"/>
    <w:rsid w:val="003B5BF0"/>
    <w:rsid w:val="003B60BF"/>
    <w:rsid w:val="003B6BE3"/>
    <w:rsid w:val="003C010C"/>
    <w:rsid w:val="003C0A6C"/>
    <w:rsid w:val="003C14F8"/>
    <w:rsid w:val="003C16CB"/>
    <w:rsid w:val="003C21EE"/>
    <w:rsid w:val="003C36AE"/>
    <w:rsid w:val="003C3D1F"/>
    <w:rsid w:val="003C518F"/>
    <w:rsid w:val="003C5A43"/>
    <w:rsid w:val="003C776D"/>
    <w:rsid w:val="003D0519"/>
    <w:rsid w:val="003D0FF6"/>
    <w:rsid w:val="003D1781"/>
    <w:rsid w:val="003D1C1C"/>
    <w:rsid w:val="003D262C"/>
    <w:rsid w:val="003D272E"/>
    <w:rsid w:val="003D61BC"/>
    <w:rsid w:val="003D6D61"/>
    <w:rsid w:val="003D6FF5"/>
    <w:rsid w:val="003D76B0"/>
    <w:rsid w:val="003D79C6"/>
    <w:rsid w:val="003E0762"/>
    <w:rsid w:val="003E091D"/>
    <w:rsid w:val="003E0EA6"/>
    <w:rsid w:val="003E1C53"/>
    <w:rsid w:val="003E1FEA"/>
    <w:rsid w:val="003E2A69"/>
    <w:rsid w:val="003E2D49"/>
    <w:rsid w:val="003E2FD4"/>
    <w:rsid w:val="003E3E06"/>
    <w:rsid w:val="003E3F72"/>
    <w:rsid w:val="003E40CC"/>
    <w:rsid w:val="003E49F6"/>
    <w:rsid w:val="003E4B48"/>
    <w:rsid w:val="003E660F"/>
    <w:rsid w:val="003F0841"/>
    <w:rsid w:val="003F23D3"/>
    <w:rsid w:val="003F3F08"/>
    <w:rsid w:val="003F49F1"/>
    <w:rsid w:val="003F5E14"/>
    <w:rsid w:val="003F6272"/>
    <w:rsid w:val="004009D2"/>
    <w:rsid w:val="00400E72"/>
    <w:rsid w:val="00401400"/>
    <w:rsid w:val="00401E95"/>
    <w:rsid w:val="00402A0F"/>
    <w:rsid w:val="00404869"/>
    <w:rsid w:val="00405884"/>
    <w:rsid w:val="004074F6"/>
    <w:rsid w:val="00407D39"/>
    <w:rsid w:val="0041252E"/>
    <w:rsid w:val="0041472B"/>
    <w:rsid w:val="0041477A"/>
    <w:rsid w:val="00415DC5"/>
    <w:rsid w:val="004167A3"/>
    <w:rsid w:val="00423A53"/>
    <w:rsid w:val="00423BD3"/>
    <w:rsid w:val="00426DB0"/>
    <w:rsid w:val="00432DAA"/>
    <w:rsid w:val="00434305"/>
    <w:rsid w:val="0043546E"/>
    <w:rsid w:val="00435DF7"/>
    <w:rsid w:val="0044083F"/>
    <w:rsid w:val="004414B2"/>
    <w:rsid w:val="00441AE7"/>
    <w:rsid w:val="00441F3D"/>
    <w:rsid w:val="00445574"/>
    <w:rsid w:val="00445EBE"/>
    <w:rsid w:val="004465AA"/>
    <w:rsid w:val="004467FB"/>
    <w:rsid w:val="0044731A"/>
    <w:rsid w:val="00451194"/>
    <w:rsid w:val="004524E0"/>
    <w:rsid w:val="00452D6B"/>
    <w:rsid w:val="00453540"/>
    <w:rsid w:val="00454484"/>
    <w:rsid w:val="00454E58"/>
    <w:rsid w:val="00454E70"/>
    <w:rsid w:val="0045517B"/>
    <w:rsid w:val="0045583F"/>
    <w:rsid w:val="00456038"/>
    <w:rsid w:val="00456C3E"/>
    <w:rsid w:val="004573BB"/>
    <w:rsid w:val="00460087"/>
    <w:rsid w:val="0046017F"/>
    <w:rsid w:val="00460936"/>
    <w:rsid w:val="00460F7F"/>
    <w:rsid w:val="00463B77"/>
    <w:rsid w:val="00463C7B"/>
    <w:rsid w:val="004644A6"/>
    <w:rsid w:val="004659BD"/>
    <w:rsid w:val="00466BE7"/>
    <w:rsid w:val="00466C18"/>
    <w:rsid w:val="00470775"/>
    <w:rsid w:val="00470E69"/>
    <w:rsid w:val="0047252B"/>
    <w:rsid w:val="00472DB2"/>
    <w:rsid w:val="004746B1"/>
    <w:rsid w:val="00475510"/>
    <w:rsid w:val="0047583F"/>
    <w:rsid w:val="00475DE8"/>
    <w:rsid w:val="00476BB7"/>
    <w:rsid w:val="00481C44"/>
    <w:rsid w:val="004820F0"/>
    <w:rsid w:val="004832F1"/>
    <w:rsid w:val="004837C4"/>
    <w:rsid w:val="00483809"/>
    <w:rsid w:val="00484936"/>
    <w:rsid w:val="00485C89"/>
    <w:rsid w:val="00485FBD"/>
    <w:rsid w:val="00486BE3"/>
    <w:rsid w:val="0048707F"/>
    <w:rsid w:val="004905E4"/>
    <w:rsid w:val="00490A89"/>
    <w:rsid w:val="00490AB4"/>
    <w:rsid w:val="00492F02"/>
    <w:rsid w:val="004939AE"/>
    <w:rsid w:val="00493C17"/>
    <w:rsid w:val="00496A43"/>
    <w:rsid w:val="004A12DF"/>
    <w:rsid w:val="004A17E6"/>
    <w:rsid w:val="004A1BA8"/>
    <w:rsid w:val="004A4B57"/>
    <w:rsid w:val="004A63FA"/>
    <w:rsid w:val="004A753E"/>
    <w:rsid w:val="004B0272"/>
    <w:rsid w:val="004B2701"/>
    <w:rsid w:val="004B2E1B"/>
    <w:rsid w:val="004B3AA8"/>
    <w:rsid w:val="004B3E93"/>
    <w:rsid w:val="004C1FBC"/>
    <w:rsid w:val="004C3F1D"/>
    <w:rsid w:val="004C458D"/>
    <w:rsid w:val="004C4A5A"/>
    <w:rsid w:val="004C5B92"/>
    <w:rsid w:val="004C5FA5"/>
    <w:rsid w:val="004C6231"/>
    <w:rsid w:val="004C7556"/>
    <w:rsid w:val="004C7E8B"/>
    <w:rsid w:val="004C7E9D"/>
    <w:rsid w:val="004C7F67"/>
    <w:rsid w:val="004D076D"/>
    <w:rsid w:val="004D0EF1"/>
    <w:rsid w:val="004D1AE1"/>
    <w:rsid w:val="004D2253"/>
    <w:rsid w:val="004D4406"/>
    <w:rsid w:val="004D5743"/>
    <w:rsid w:val="004D686B"/>
    <w:rsid w:val="004D6D00"/>
    <w:rsid w:val="004D72A4"/>
    <w:rsid w:val="004D7BB4"/>
    <w:rsid w:val="004D7C42"/>
    <w:rsid w:val="004E0465"/>
    <w:rsid w:val="004E05F1"/>
    <w:rsid w:val="004E127B"/>
    <w:rsid w:val="004E1C0A"/>
    <w:rsid w:val="004E2B06"/>
    <w:rsid w:val="004E2FB6"/>
    <w:rsid w:val="004E30C5"/>
    <w:rsid w:val="004E3337"/>
    <w:rsid w:val="004E4AA5"/>
    <w:rsid w:val="004E4AEE"/>
    <w:rsid w:val="004E59D0"/>
    <w:rsid w:val="004E59E3"/>
    <w:rsid w:val="004E5A61"/>
    <w:rsid w:val="004E67C0"/>
    <w:rsid w:val="004E7698"/>
    <w:rsid w:val="004F391A"/>
    <w:rsid w:val="004F3CFB"/>
    <w:rsid w:val="004F418A"/>
    <w:rsid w:val="004F5EC1"/>
    <w:rsid w:val="004F6456"/>
    <w:rsid w:val="004F696E"/>
    <w:rsid w:val="004F6C71"/>
    <w:rsid w:val="004F6E0A"/>
    <w:rsid w:val="004F74A7"/>
    <w:rsid w:val="005006CD"/>
    <w:rsid w:val="00501139"/>
    <w:rsid w:val="005026F5"/>
    <w:rsid w:val="0050363E"/>
    <w:rsid w:val="005039BC"/>
    <w:rsid w:val="00503F9D"/>
    <w:rsid w:val="005043BB"/>
    <w:rsid w:val="00504A3D"/>
    <w:rsid w:val="00505767"/>
    <w:rsid w:val="0050642C"/>
    <w:rsid w:val="005073F0"/>
    <w:rsid w:val="00507410"/>
    <w:rsid w:val="00510A7B"/>
    <w:rsid w:val="00512F6E"/>
    <w:rsid w:val="00513038"/>
    <w:rsid w:val="00514174"/>
    <w:rsid w:val="00514C06"/>
    <w:rsid w:val="00515AC8"/>
    <w:rsid w:val="0051604B"/>
    <w:rsid w:val="00516088"/>
    <w:rsid w:val="005160DE"/>
    <w:rsid w:val="00516B0B"/>
    <w:rsid w:val="00517300"/>
    <w:rsid w:val="005176D4"/>
    <w:rsid w:val="005220EC"/>
    <w:rsid w:val="00523F95"/>
    <w:rsid w:val="00524475"/>
    <w:rsid w:val="00524B57"/>
    <w:rsid w:val="00524D09"/>
    <w:rsid w:val="00524D65"/>
    <w:rsid w:val="00525B16"/>
    <w:rsid w:val="00526D59"/>
    <w:rsid w:val="0052705E"/>
    <w:rsid w:val="00531152"/>
    <w:rsid w:val="00531FAF"/>
    <w:rsid w:val="00533D04"/>
    <w:rsid w:val="00534804"/>
    <w:rsid w:val="00534BDF"/>
    <w:rsid w:val="00535259"/>
    <w:rsid w:val="005354EA"/>
    <w:rsid w:val="0053585F"/>
    <w:rsid w:val="00535EC4"/>
    <w:rsid w:val="00535ED9"/>
    <w:rsid w:val="0053692B"/>
    <w:rsid w:val="00541853"/>
    <w:rsid w:val="0054202B"/>
    <w:rsid w:val="005424F3"/>
    <w:rsid w:val="00543BDA"/>
    <w:rsid w:val="005441CC"/>
    <w:rsid w:val="00544A59"/>
    <w:rsid w:val="00545367"/>
    <w:rsid w:val="00545FF8"/>
    <w:rsid w:val="005479DA"/>
    <w:rsid w:val="00547BCC"/>
    <w:rsid w:val="0055013B"/>
    <w:rsid w:val="00551F6F"/>
    <w:rsid w:val="005522AA"/>
    <w:rsid w:val="005538B9"/>
    <w:rsid w:val="0055473A"/>
    <w:rsid w:val="005547D0"/>
    <w:rsid w:val="00555044"/>
    <w:rsid w:val="00560016"/>
    <w:rsid w:val="00561475"/>
    <w:rsid w:val="00561BD0"/>
    <w:rsid w:val="005632C3"/>
    <w:rsid w:val="0056487B"/>
    <w:rsid w:val="00564FB9"/>
    <w:rsid w:val="00566019"/>
    <w:rsid w:val="005679AD"/>
    <w:rsid w:val="00571D60"/>
    <w:rsid w:val="00573D9E"/>
    <w:rsid w:val="005801E3"/>
    <w:rsid w:val="00581802"/>
    <w:rsid w:val="0058339F"/>
    <w:rsid w:val="005836A8"/>
    <w:rsid w:val="0058375F"/>
    <w:rsid w:val="0058409C"/>
    <w:rsid w:val="00584262"/>
    <w:rsid w:val="00585A39"/>
    <w:rsid w:val="00586091"/>
    <w:rsid w:val="00586630"/>
    <w:rsid w:val="00587ADD"/>
    <w:rsid w:val="00591786"/>
    <w:rsid w:val="00591E27"/>
    <w:rsid w:val="0059430F"/>
    <w:rsid w:val="00596160"/>
    <w:rsid w:val="005966E2"/>
    <w:rsid w:val="00597007"/>
    <w:rsid w:val="00597D71"/>
    <w:rsid w:val="005A0966"/>
    <w:rsid w:val="005A0E4F"/>
    <w:rsid w:val="005A11B7"/>
    <w:rsid w:val="005A1EF7"/>
    <w:rsid w:val="005A2529"/>
    <w:rsid w:val="005A260B"/>
    <w:rsid w:val="005A303B"/>
    <w:rsid w:val="005A397C"/>
    <w:rsid w:val="005A4071"/>
    <w:rsid w:val="005A4A1B"/>
    <w:rsid w:val="005A7830"/>
    <w:rsid w:val="005A7FCE"/>
    <w:rsid w:val="005B0F3F"/>
    <w:rsid w:val="005B45EA"/>
    <w:rsid w:val="005B4903"/>
    <w:rsid w:val="005B51CE"/>
    <w:rsid w:val="005B5885"/>
    <w:rsid w:val="005B5CD7"/>
    <w:rsid w:val="005B6CF6"/>
    <w:rsid w:val="005B7422"/>
    <w:rsid w:val="005B7AA7"/>
    <w:rsid w:val="005C0C46"/>
    <w:rsid w:val="005C2506"/>
    <w:rsid w:val="005C29B8"/>
    <w:rsid w:val="005C3C56"/>
    <w:rsid w:val="005C3E68"/>
    <w:rsid w:val="005C527B"/>
    <w:rsid w:val="005C5F21"/>
    <w:rsid w:val="005C6165"/>
    <w:rsid w:val="005C7156"/>
    <w:rsid w:val="005C74B0"/>
    <w:rsid w:val="005C7C7A"/>
    <w:rsid w:val="005D02C6"/>
    <w:rsid w:val="005D0C75"/>
    <w:rsid w:val="005D1F1A"/>
    <w:rsid w:val="005D2ABD"/>
    <w:rsid w:val="005D4171"/>
    <w:rsid w:val="005D4E65"/>
    <w:rsid w:val="005D6929"/>
    <w:rsid w:val="005D6A95"/>
    <w:rsid w:val="005D6B2C"/>
    <w:rsid w:val="005D6D9C"/>
    <w:rsid w:val="005D7702"/>
    <w:rsid w:val="005E2335"/>
    <w:rsid w:val="005E3058"/>
    <w:rsid w:val="005E34CA"/>
    <w:rsid w:val="005E3C18"/>
    <w:rsid w:val="005E5BE6"/>
    <w:rsid w:val="005E62A9"/>
    <w:rsid w:val="005E65F6"/>
    <w:rsid w:val="005E6812"/>
    <w:rsid w:val="005E7881"/>
    <w:rsid w:val="005E78E0"/>
    <w:rsid w:val="005F0D9C"/>
    <w:rsid w:val="005F2774"/>
    <w:rsid w:val="005F284E"/>
    <w:rsid w:val="005F374C"/>
    <w:rsid w:val="005F45E2"/>
    <w:rsid w:val="005F4712"/>
    <w:rsid w:val="00600E91"/>
    <w:rsid w:val="006015CE"/>
    <w:rsid w:val="00604784"/>
    <w:rsid w:val="00605403"/>
    <w:rsid w:val="00606419"/>
    <w:rsid w:val="00607D29"/>
    <w:rsid w:val="006100A9"/>
    <w:rsid w:val="006103F4"/>
    <w:rsid w:val="00612952"/>
    <w:rsid w:val="00613542"/>
    <w:rsid w:val="0061380F"/>
    <w:rsid w:val="0061474C"/>
    <w:rsid w:val="00614CC1"/>
    <w:rsid w:val="00615A9D"/>
    <w:rsid w:val="0061657A"/>
    <w:rsid w:val="00617387"/>
    <w:rsid w:val="0062026C"/>
    <w:rsid w:val="006205D6"/>
    <w:rsid w:val="006207E5"/>
    <w:rsid w:val="00621F14"/>
    <w:rsid w:val="006228A5"/>
    <w:rsid w:val="00624BC0"/>
    <w:rsid w:val="006252D8"/>
    <w:rsid w:val="006259BC"/>
    <w:rsid w:val="0062636B"/>
    <w:rsid w:val="0063053E"/>
    <w:rsid w:val="00632182"/>
    <w:rsid w:val="00632AE0"/>
    <w:rsid w:val="00632C78"/>
    <w:rsid w:val="00633C17"/>
    <w:rsid w:val="00634D9E"/>
    <w:rsid w:val="00636E3E"/>
    <w:rsid w:val="006379F7"/>
    <w:rsid w:val="00637E4D"/>
    <w:rsid w:val="006400AE"/>
    <w:rsid w:val="00640620"/>
    <w:rsid w:val="00641A1F"/>
    <w:rsid w:val="00645904"/>
    <w:rsid w:val="0064603B"/>
    <w:rsid w:val="00651ACB"/>
    <w:rsid w:val="00651C47"/>
    <w:rsid w:val="00652AB2"/>
    <w:rsid w:val="00653D19"/>
    <w:rsid w:val="00653FED"/>
    <w:rsid w:val="00654C50"/>
    <w:rsid w:val="00654EC0"/>
    <w:rsid w:val="0065525B"/>
    <w:rsid w:val="00655D4F"/>
    <w:rsid w:val="00656D29"/>
    <w:rsid w:val="00660E94"/>
    <w:rsid w:val="006618DD"/>
    <w:rsid w:val="006640E5"/>
    <w:rsid w:val="006646F1"/>
    <w:rsid w:val="006647BF"/>
    <w:rsid w:val="00664929"/>
    <w:rsid w:val="00664F62"/>
    <w:rsid w:val="006655E1"/>
    <w:rsid w:val="006674D2"/>
    <w:rsid w:val="00670381"/>
    <w:rsid w:val="00670DFE"/>
    <w:rsid w:val="00672060"/>
    <w:rsid w:val="00672614"/>
    <w:rsid w:val="00672BFD"/>
    <w:rsid w:val="006735BF"/>
    <w:rsid w:val="00676288"/>
    <w:rsid w:val="006770F4"/>
    <w:rsid w:val="00677A84"/>
    <w:rsid w:val="0068026D"/>
    <w:rsid w:val="00680A27"/>
    <w:rsid w:val="00680C28"/>
    <w:rsid w:val="006816A4"/>
    <w:rsid w:val="006819B8"/>
    <w:rsid w:val="00683FD1"/>
    <w:rsid w:val="006840A6"/>
    <w:rsid w:val="00684927"/>
    <w:rsid w:val="006850CD"/>
    <w:rsid w:val="00685835"/>
    <w:rsid w:val="00685AAB"/>
    <w:rsid w:val="00686164"/>
    <w:rsid w:val="0068718A"/>
    <w:rsid w:val="00687DF4"/>
    <w:rsid w:val="0069001D"/>
    <w:rsid w:val="00691BFA"/>
    <w:rsid w:val="0069273F"/>
    <w:rsid w:val="00692965"/>
    <w:rsid w:val="00693824"/>
    <w:rsid w:val="00693C5A"/>
    <w:rsid w:val="00695130"/>
    <w:rsid w:val="00695D22"/>
    <w:rsid w:val="00695F2C"/>
    <w:rsid w:val="006A07AA"/>
    <w:rsid w:val="006A0C3B"/>
    <w:rsid w:val="006A25E5"/>
    <w:rsid w:val="006A2B46"/>
    <w:rsid w:val="006A336D"/>
    <w:rsid w:val="006A37B9"/>
    <w:rsid w:val="006A3C8F"/>
    <w:rsid w:val="006A67CC"/>
    <w:rsid w:val="006B02DB"/>
    <w:rsid w:val="006B2672"/>
    <w:rsid w:val="006B54BF"/>
    <w:rsid w:val="006B5F44"/>
    <w:rsid w:val="006B5F90"/>
    <w:rsid w:val="006B62E4"/>
    <w:rsid w:val="006C1BBA"/>
    <w:rsid w:val="006C2079"/>
    <w:rsid w:val="006C2C45"/>
    <w:rsid w:val="006C4106"/>
    <w:rsid w:val="006C541D"/>
    <w:rsid w:val="006C5A62"/>
    <w:rsid w:val="006C5D68"/>
    <w:rsid w:val="006C6976"/>
    <w:rsid w:val="006C6DD0"/>
    <w:rsid w:val="006D04EA"/>
    <w:rsid w:val="006D0AB7"/>
    <w:rsid w:val="006D16C4"/>
    <w:rsid w:val="006D2D80"/>
    <w:rsid w:val="006D3E96"/>
    <w:rsid w:val="006D4515"/>
    <w:rsid w:val="006D4BB1"/>
    <w:rsid w:val="006D6593"/>
    <w:rsid w:val="006D6AB1"/>
    <w:rsid w:val="006E23EA"/>
    <w:rsid w:val="006E511D"/>
    <w:rsid w:val="006E6BDD"/>
    <w:rsid w:val="006F02AC"/>
    <w:rsid w:val="006F03A8"/>
    <w:rsid w:val="006F0C17"/>
    <w:rsid w:val="006F1BA9"/>
    <w:rsid w:val="006F2ACA"/>
    <w:rsid w:val="006F2ADC"/>
    <w:rsid w:val="006F2BFE"/>
    <w:rsid w:val="006F31E9"/>
    <w:rsid w:val="006F40F5"/>
    <w:rsid w:val="006F6004"/>
    <w:rsid w:val="006F6284"/>
    <w:rsid w:val="006F63F7"/>
    <w:rsid w:val="007002C5"/>
    <w:rsid w:val="00700359"/>
    <w:rsid w:val="007006EA"/>
    <w:rsid w:val="00702769"/>
    <w:rsid w:val="00702DD3"/>
    <w:rsid w:val="00704387"/>
    <w:rsid w:val="00704D70"/>
    <w:rsid w:val="0070668D"/>
    <w:rsid w:val="00707037"/>
    <w:rsid w:val="00707669"/>
    <w:rsid w:val="007079D3"/>
    <w:rsid w:val="00707A44"/>
    <w:rsid w:val="00707EF6"/>
    <w:rsid w:val="00710BCF"/>
    <w:rsid w:val="00711CBA"/>
    <w:rsid w:val="00711FB5"/>
    <w:rsid w:val="00712A01"/>
    <w:rsid w:val="00712C25"/>
    <w:rsid w:val="007131A4"/>
    <w:rsid w:val="00714F58"/>
    <w:rsid w:val="007152A4"/>
    <w:rsid w:val="00715678"/>
    <w:rsid w:val="00716844"/>
    <w:rsid w:val="00717F51"/>
    <w:rsid w:val="0072097A"/>
    <w:rsid w:val="007219BC"/>
    <w:rsid w:val="00722FBF"/>
    <w:rsid w:val="00722FC2"/>
    <w:rsid w:val="007239B9"/>
    <w:rsid w:val="00724879"/>
    <w:rsid w:val="00724E1B"/>
    <w:rsid w:val="007250F5"/>
    <w:rsid w:val="00725949"/>
    <w:rsid w:val="0072630E"/>
    <w:rsid w:val="00727FA2"/>
    <w:rsid w:val="00732191"/>
    <w:rsid w:val="007322D9"/>
    <w:rsid w:val="00732BC0"/>
    <w:rsid w:val="0073720F"/>
    <w:rsid w:val="00737796"/>
    <w:rsid w:val="0074165C"/>
    <w:rsid w:val="00741B8A"/>
    <w:rsid w:val="00742C35"/>
    <w:rsid w:val="007432CA"/>
    <w:rsid w:val="00743533"/>
    <w:rsid w:val="007438CC"/>
    <w:rsid w:val="007439EB"/>
    <w:rsid w:val="00743CB4"/>
    <w:rsid w:val="00743F0A"/>
    <w:rsid w:val="007444E8"/>
    <w:rsid w:val="00744CA0"/>
    <w:rsid w:val="0074548E"/>
    <w:rsid w:val="007454ED"/>
    <w:rsid w:val="00745773"/>
    <w:rsid w:val="007465E6"/>
    <w:rsid w:val="00746800"/>
    <w:rsid w:val="00747AC5"/>
    <w:rsid w:val="007501A8"/>
    <w:rsid w:val="00750D61"/>
    <w:rsid w:val="00750EE1"/>
    <w:rsid w:val="00752B4D"/>
    <w:rsid w:val="00752DE4"/>
    <w:rsid w:val="00754577"/>
    <w:rsid w:val="00755402"/>
    <w:rsid w:val="00756B26"/>
    <w:rsid w:val="00756EDF"/>
    <w:rsid w:val="00757842"/>
    <w:rsid w:val="007600E3"/>
    <w:rsid w:val="00761F99"/>
    <w:rsid w:val="00762014"/>
    <w:rsid w:val="0076290E"/>
    <w:rsid w:val="00762E29"/>
    <w:rsid w:val="00764701"/>
    <w:rsid w:val="00765C43"/>
    <w:rsid w:val="00765EFB"/>
    <w:rsid w:val="007671CA"/>
    <w:rsid w:val="007673D4"/>
    <w:rsid w:val="00767C61"/>
    <w:rsid w:val="0077008A"/>
    <w:rsid w:val="00771D29"/>
    <w:rsid w:val="00773C1F"/>
    <w:rsid w:val="00774DA4"/>
    <w:rsid w:val="00776599"/>
    <w:rsid w:val="0077691C"/>
    <w:rsid w:val="0078114B"/>
    <w:rsid w:val="00781DD2"/>
    <w:rsid w:val="00782D7F"/>
    <w:rsid w:val="00783ECF"/>
    <w:rsid w:val="0078413A"/>
    <w:rsid w:val="0078616E"/>
    <w:rsid w:val="0078654C"/>
    <w:rsid w:val="00787186"/>
    <w:rsid w:val="00791BA9"/>
    <w:rsid w:val="0079347F"/>
    <w:rsid w:val="007944E1"/>
    <w:rsid w:val="00794551"/>
    <w:rsid w:val="00794DF5"/>
    <w:rsid w:val="00794FBF"/>
    <w:rsid w:val="007959E8"/>
    <w:rsid w:val="00795E9C"/>
    <w:rsid w:val="00796A1A"/>
    <w:rsid w:val="007A0521"/>
    <w:rsid w:val="007A0866"/>
    <w:rsid w:val="007A0978"/>
    <w:rsid w:val="007A2E12"/>
    <w:rsid w:val="007A3475"/>
    <w:rsid w:val="007A3805"/>
    <w:rsid w:val="007A41C8"/>
    <w:rsid w:val="007A54CE"/>
    <w:rsid w:val="007A6FD9"/>
    <w:rsid w:val="007A7FFA"/>
    <w:rsid w:val="007B04EB"/>
    <w:rsid w:val="007B09A3"/>
    <w:rsid w:val="007B0D4F"/>
    <w:rsid w:val="007B17F8"/>
    <w:rsid w:val="007B37DE"/>
    <w:rsid w:val="007B4681"/>
    <w:rsid w:val="007B5A3D"/>
    <w:rsid w:val="007B5B95"/>
    <w:rsid w:val="007B5E96"/>
    <w:rsid w:val="007B68EA"/>
    <w:rsid w:val="007B7453"/>
    <w:rsid w:val="007C0D87"/>
    <w:rsid w:val="007C1E8B"/>
    <w:rsid w:val="007C2D89"/>
    <w:rsid w:val="007C33EA"/>
    <w:rsid w:val="007C4593"/>
    <w:rsid w:val="007C5309"/>
    <w:rsid w:val="007C6069"/>
    <w:rsid w:val="007C63DF"/>
    <w:rsid w:val="007C6F26"/>
    <w:rsid w:val="007C71BB"/>
    <w:rsid w:val="007D06C4"/>
    <w:rsid w:val="007D1352"/>
    <w:rsid w:val="007D2508"/>
    <w:rsid w:val="007D346A"/>
    <w:rsid w:val="007D50C8"/>
    <w:rsid w:val="007D6518"/>
    <w:rsid w:val="007D76BD"/>
    <w:rsid w:val="007E047E"/>
    <w:rsid w:val="007E0BF1"/>
    <w:rsid w:val="007E0FE0"/>
    <w:rsid w:val="007E3901"/>
    <w:rsid w:val="007E53F5"/>
    <w:rsid w:val="007E5C84"/>
    <w:rsid w:val="007E6F55"/>
    <w:rsid w:val="007F0ED8"/>
    <w:rsid w:val="007F0F63"/>
    <w:rsid w:val="007F139D"/>
    <w:rsid w:val="007F150C"/>
    <w:rsid w:val="007F1BB1"/>
    <w:rsid w:val="007F31A2"/>
    <w:rsid w:val="007F4375"/>
    <w:rsid w:val="007F442D"/>
    <w:rsid w:val="007F75CE"/>
    <w:rsid w:val="00800112"/>
    <w:rsid w:val="008013A4"/>
    <w:rsid w:val="008027CE"/>
    <w:rsid w:val="00802861"/>
    <w:rsid w:val="00802951"/>
    <w:rsid w:val="00802F42"/>
    <w:rsid w:val="00803C44"/>
    <w:rsid w:val="00803EE5"/>
    <w:rsid w:val="00804383"/>
    <w:rsid w:val="00804BB7"/>
    <w:rsid w:val="00804D41"/>
    <w:rsid w:val="00805311"/>
    <w:rsid w:val="00805BF0"/>
    <w:rsid w:val="0080666A"/>
    <w:rsid w:val="00810257"/>
    <w:rsid w:val="008104F5"/>
    <w:rsid w:val="0081050A"/>
    <w:rsid w:val="00810C8C"/>
    <w:rsid w:val="00811072"/>
    <w:rsid w:val="00811369"/>
    <w:rsid w:val="00811BF8"/>
    <w:rsid w:val="00815419"/>
    <w:rsid w:val="00815567"/>
    <w:rsid w:val="008163C8"/>
    <w:rsid w:val="008164A1"/>
    <w:rsid w:val="00817325"/>
    <w:rsid w:val="00817DF6"/>
    <w:rsid w:val="008208EC"/>
    <w:rsid w:val="008209E6"/>
    <w:rsid w:val="00821201"/>
    <w:rsid w:val="00823303"/>
    <w:rsid w:val="008233B2"/>
    <w:rsid w:val="00823A9F"/>
    <w:rsid w:val="00823ABC"/>
    <w:rsid w:val="00823C85"/>
    <w:rsid w:val="00825138"/>
    <w:rsid w:val="008269DD"/>
    <w:rsid w:val="00826BC3"/>
    <w:rsid w:val="00830621"/>
    <w:rsid w:val="0083348C"/>
    <w:rsid w:val="00834D4C"/>
    <w:rsid w:val="008352B1"/>
    <w:rsid w:val="00835949"/>
    <w:rsid w:val="008373D3"/>
    <w:rsid w:val="00840617"/>
    <w:rsid w:val="00840E40"/>
    <w:rsid w:val="00840F84"/>
    <w:rsid w:val="00840FF1"/>
    <w:rsid w:val="00841BD3"/>
    <w:rsid w:val="00842A47"/>
    <w:rsid w:val="00842DB1"/>
    <w:rsid w:val="00843C13"/>
    <w:rsid w:val="008454F8"/>
    <w:rsid w:val="008464FC"/>
    <w:rsid w:val="008471E1"/>
    <w:rsid w:val="0084721E"/>
    <w:rsid w:val="0085173A"/>
    <w:rsid w:val="00853A65"/>
    <w:rsid w:val="00855590"/>
    <w:rsid w:val="00856316"/>
    <w:rsid w:val="00856CA8"/>
    <w:rsid w:val="008603CE"/>
    <w:rsid w:val="00861E3E"/>
    <w:rsid w:val="008620FC"/>
    <w:rsid w:val="008627A5"/>
    <w:rsid w:val="00863E05"/>
    <w:rsid w:val="00865ACA"/>
    <w:rsid w:val="00865D28"/>
    <w:rsid w:val="00865F85"/>
    <w:rsid w:val="00866993"/>
    <w:rsid w:val="00867C10"/>
    <w:rsid w:val="00870439"/>
    <w:rsid w:val="00870DA1"/>
    <w:rsid w:val="00871984"/>
    <w:rsid w:val="00873080"/>
    <w:rsid w:val="0087326D"/>
    <w:rsid w:val="00876748"/>
    <w:rsid w:val="008802B7"/>
    <w:rsid w:val="008831ED"/>
    <w:rsid w:val="00883AB4"/>
    <w:rsid w:val="00883F93"/>
    <w:rsid w:val="00883FB8"/>
    <w:rsid w:val="00884DB3"/>
    <w:rsid w:val="00884DCD"/>
    <w:rsid w:val="00885042"/>
    <w:rsid w:val="00885A9D"/>
    <w:rsid w:val="008864F6"/>
    <w:rsid w:val="0089049D"/>
    <w:rsid w:val="00890A03"/>
    <w:rsid w:val="008928C9"/>
    <w:rsid w:val="008930CB"/>
    <w:rsid w:val="008938DC"/>
    <w:rsid w:val="00893FD1"/>
    <w:rsid w:val="00894836"/>
    <w:rsid w:val="00895172"/>
    <w:rsid w:val="00895680"/>
    <w:rsid w:val="00896DFF"/>
    <w:rsid w:val="0089750A"/>
    <w:rsid w:val="0089762C"/>
    <w:rsid w:val="008A0936"/>
    <w:rsid w:val="008A1434"/>
    <w:rsid w:val="008A1893"/>
    <w:rsid w:val="008A3215"/>
    <w:rsid w:val="008A57E6"/>
    <w:rsid w:val="008A5E5C"/>
    <w:rsid w:val="008A6F81"/>
    <w:rsid w:val="008A769A"/>
    <w:rsid w:val="008A79A8"/>
    <w:rsid w:val="008B0C9C"/>
    <w:rsid w:val="008B166D"/>
    <w:rsid w:val="008B17F4"/>
    <w:rsid w:val="008B1DE0"/>
    <w:rsid w:val="008B294B"/>
    <w:rsid w:val="008B2BCC"/>
    <w:rsid w:val="008B3615"/>
    <w:rsid w:val="008B4AC4"/>
    <w:rsid w:val="008B50C8"/>
    <w:rsid w:val="008B5281"/>
    <w:rsid w:val="008B5709"/>
    <w:rsid w:val="008B5BF1"/>
    <w:rsid w:val="008B6E06"/>
    <w:rsid w:val="008B7E05"/>
    <w:rsid w:val="008C1797"/>
    <w:rsid w:val="008C219C"/>
    <w:rsid w:val="008C3812"/>
    <w:rsid w:val="008C475E"/>
    <w:rsid w:val="008C4B7E"/>
    <w:rsid w:val="008C5C8B"/>
    <w:rsid w:val="008C619A"/>
    <w:rsid w:val="008C7B16"/>
    <w:rsid w:val="008D0CE8"/>
    <w:rsid w:val="008D1764"/>
    <w:rsid w:val="008D2D1D"/>
    <w:rsid w:val="008D3F93"/>
    <w:rsid w:val="008D3FCE"/>
    <w:rsid w:val="008D453D"/>
    <w:rsid w:val="008D53AD"/>
    <w:rsid w:val="008D562B"/>
    <w:rsid w:val="008D5733"/>
    <w:rsid w:val="008D622B"/>
    <w:rsid w:val="008D666C"/>
    <w:rsid w:val="008D7B54"/>
    <w:rsid w:val="008E0C9D"/>
    <w:rsid w:val="008E0FFF"/>
    <w:rsid w:val="008E1648"/>
    <w:rsid w:val="008E1B3E"/>
    <w:rsid w:val="008E2319"/>
    <w:rsid w:val="008E31BE"/>
    <w:rsid w:val="008E3FF7"/>
    <w:rsid w:val="008E4BB6"/>
    <w:rsid w:val="008E5064"/>
    <w:rsid w:val="008E5518"/>
    <w:rsid w:val="008E633F"/>
    <w:rsid w:val="008E6A84"/>
    <w:rsid w:val="008F0CDC"/>
    <w:rsid w:val="008F17A3"/>
    <w:rsid w:val="008F1ED3"/>
    <w:rsid w:val="008F23A5"/>
    <w:rsid w:val="008F2CE4"/>
    <w:rsid w:val="008F3C52"/>
    <w:rsid w:val="008F4C29"/>
    <w:rsid w:val="008F6DDE"/>
    <w:rsid w:val="008F70BD"/>
    <w:rsid w:val="008F788F"/>
    <w:rsid w:val="008F79EF"/>
    <w:rsid w:val="008F7EA2"/>
    <w:rsid w:val="00902722"/>
    <w:rsid w:val="009027BC"/>
    <w:rsid w:val="00902856"/>
    <w:rsid w:val="0090340C"/>
    <w:rsid w:val="009062E6"/>
    <w:rsid w:val="00906852"/>
    <w:rsid w:val="00906865"/>
    <w:rsid w:val="009069F3"/>
    <w:rsid w:val="009104A5"/>
    <w:rsid w:val="00911BE5"/>
    <w:rsid w:val="0091214F"/>
    <w:rsid w:val="00913CA9"/>
    <w:rsid w:val="009143AE"/>
    <w:rsid w:val="009145AE"/>
    <w:rsid w:val="009146CE"/>
    <w:rsid w:val="00914CA7"/>
    <w:rsid w:val="009159C2"/>
    <w:rsid w:val="00915C3E"/>
    <w:rsid w:val="009161A8"/>
    <w:rsid w:val="00916948"/>
    <w:rsid w:val="00921838"/>
    <w:rsid w:val="00921BFB"/>
    <w:rsid w:val="009233C4"/>
    <w:rsid w:val="00923F0F"/>
    <w:rsid w:val="009245F5"/>
    <w:rsid w:val="009249EC"/>
    <w:rsid w:val="00925FDD"/>
    <w:rsid w:val="00926210"/>
    <w:rsid w:val="00926829"/>
    <w:rsid w:val="009270CA"/>
    <w:rsid w:val="009273B3"/>
    <w:rsid w:val="009305B5"/>
    <w:rsid w:val="00930F2D"/>
    <w:rsid w:val="00931866"/>
    <w:rsid w:val="00932F43"/>
    <w:rsid w:val="0093515A"/>
    <w:rsid w:val="009363B9"/>
    <w:rsid w:val="00941575"/>
    <w:rsid w:val="00941C33"/>
    <w:rsid w:val="009429D5"/>
    <w:rsid w:val="00942BF1"/>
    <w:rsid w:val="00944186"/>
    <w:rsid w:val="00945180"/>
    <w:rsid w:val="00945428"/>
    <w:rsid w:val="0094607B"/>
    <w:rsid w:val="0094614E"/>
    <w:rsid w:val="0094772C"/>
    <w:rsid w:val="009501C3"/>
    <w:rsid w:val="00950F14"/>
    <w:rsid w:val="00951CBE"/>
    <w:rsid w:val="00952050"/>
    <w:rsid w:val="0095339E"/>
    <w:rsid w:val="00953604"/>
    <w:rsid w:val="00953E6F"/>
    <w:rsid w:val="00954348"/>
    <w:rsid w:val="0095496B"/>
    <w:rsid w:val="0096008E"/>
    <w:rsid w:val="009610DC"/>
    <w:rsid w:val="009613DB"/>
    <w:rsid w:val="00961490"/>
    <w:rsid w:val="00961E8A"/>
    <w:rsid w:val="0096212B"/>
    <w:rsid w:val="00962BE1"/>
    <w:rsid w:val="009637BD"/>
    <w:rsid w:val="0096381A"/>
    <w:rsid w:val="009659B6"/>
    <w:rsid w:val="00965E04"/>
    <w:rsid w:val="0096630F"/>
    <w:rsid w:val="00966874"/>
    <w:rsid w:val="009669A3"/>
    <w:rsid w:val="009674AD"/>
    <w:rsid w:val="00970CDC"/>
    <w:rsid w:val="00972893"/>
    <w:rsid w:val="0097692C"/>
    <w:rsid w:val="00977010"/>
    <w:rsid w:val="00977D02"/>
    <w:rsid w:val="009809BB"/>
    <w:rsid w:val="00980A70"/>
    <w:rsid w:val="00981AD6"/>
    <w:rsid w:val="00981B41"/>
    <w:rsid w:val="0098364B"/>
    <w:rsid w:val="00990B16"/>
    <w:rsid w:val="00990B7D"/>
    <w:rsid w:val="00990CAB"/>
    <w:rsid w:val="009911AF"/>
    <w:rsid w:val="00991875"/>
    <w:rsid w:val="00991F92"/>
    <w:rsid w:val="00992985"/>
    <w:rsid w:val="0099371D"/>
    <w:rsid w:val="00993889"/>
    <w:rsid w:val="0099551B"/>
    <w:rsid w:val="0099771A"/>
    <w:rsid w:val="0099792F"/>
    <w:rsid w:val="00997BF1"/>
    <w:rsid w:val="009A04C8"/>
    <w:rsid w:val="009A089C"/>
    <w:rsid w:val="009A118E"/>
    <w:rsid w:val="009A160A"/>
    <w:rsid w:val="009A21CD"/>
    <w:rsid w:val="009A278C"/>
    <w:rsid w:val="009A2BC2"/>
    <w:rsid w:val="009A2E2C"/>
    <w:rsid w:val="009A3291"/>
    <w:rsid w:val="009A41B0"/>
    <w:rsid w:val="009A42C1"/>
    <w:rsid w:val="009A4893"/>
    <w:rsid w:val="009A5429"/>
    <w:rsid w:val="009A6480"/>
    <w:rsid w:val="009A7053"/>
    <w:rsid w:val="009A72AD"/>
    <w:rsid w:val="009B09E0"/>
    <w:rsid w:val="009B0BC5"/>
    <w:rsid w:val="009B0DB7"/>
    <w:rsid w:val="009B1247"/>
    <w:rsid w:val="009B27CF"/>
    <w:rsid w:val="009B287D"/>
    <w:rsid w:val="009B2F0D"/>
    <w:rsid w:val="009B46F9"/>
    <w:rsid w:val="009B53BB"/>
    <w:rsid w:val="009B5841"/>
    <w:rsid w:val="009B6029"/>
    <w:rsid w:val="009B6971"/>
    <w:rsid w:val="009C1E4A"/>
    <w:rsid w:val="009C27F1"/>
    <w:rsid w:val="009C3152"/>
    <w:rsid w:val="009C33BD"/>
    <w:rsid w:val="009C4CFA"/>
    <w:rsid w:val="009C5070"/>
    <w:rsid w:val="009C5777"/>
    <w:rsid w:val="009C5B8D"/>
    <w:rsid w:val="009C5BFE"/>
    <w:rsid w:val="009C6431"/>
    <w:rsid w:val="009C77C5"/>
    <w:rsid w:val="009C7D8E"/>
    <w:rsid w:val="009C7F9D"/>
    <w:rsid w:val="009D112C"/>
    <w:rsid w:val="009D3664"/>
    <w:rsid w:val="009D47FA"/>
    <w:rsid w:val="009D4C5B"/>
    <w:rsid w:val="009D50D2"/>
    <w:rsid w:val="009D602D"/>
    <w:rsid w:val="009D6BCA"/>
    <w:rsid w:val="009E0866"/>
    <w:rsid w:val="009E0F62"/>
    <w:rsid w:val="009E4A58"/>
    <w:rsid w:val="009E5A2D"/>
    <w:rsid w:val="009E5AB2"/>
    <w:rsid w:val="009E6219"/>
    <w:rsid w:val="009E68E7"/>
    <w:rsid w:val="009F03B3"/>
    <w:rsid w:val="009F19F2"/>
    <w:rsid w:val="009F1FB6"/>
    <w:rsid w:val="009F3AE2"/>
    <w:rsid w:val="009F41BE"/>
    <w:rsid w:val="009F66CE"/>
    <w:rsid w:val="009F7067"/>
    <w:rsid w:val="00A0096C"/>
    <w:rsid w:val="00A01757"/>
    <w:rsid w:val="00A01A63"/>
    <w:rsid w:val="00A028C0"/>
    <w:rsid w:val="00A02BAE"/>
    <w:rsid w:val="00A02E40"/>
    <w:rsid w:val="00A03100"/>
    <w:rsid w:val="00A05DD9"/>
    <w:rsid w:val="00A05F30"/>
    <w:rsid w:val="00A06A6B"/>
    <w:rsid w:val="00A075AF"/>
    <w:rsid w:val="00A07E47"/>
    <w:rsid w:val="00A11292"/>
    <w:rsid w:val="00A11D4F"/>
    <w:rsid w:val="00A129D0"/>
    <w:rsid w:val="00A12C33"/>
    <w:rsid w:val="00A138BA"/>
    <w:rsid w:val="00A14C8E"/>
    <w:rsid w:val="00A153D9"/>
    <w:rsid w:val="00A15D83"/>
    <w:rsid w:val="00A15F09"/>
    <w:rsid w:val="00A169B6"/>
    <w:rsid w:val="00A20FF8"/>
    <w:rsid w:val="00A21155"/>
    <w:rsid w:val="00A21458"/>
    <w:rsid w:val="00A21943"/>
    <w:rsid w:val="00A221EF"/>
    <w:rsid w:val="00A2271D"/>
    <w:rsid w:val="00A22865"/>
    <w:rsid w:val="00A235D6"/>
    <w:rsid w:val="00A237D5"/>
    <w:rsid w:val="00A24228"/>
    <w:rsid w:val="00A24EFE"/>
    <w:rsid w:val="00A2652E"/>
    <w:rsid w:val="00A307D3"/>
    <w:rsid w:val="00A30EFC"/>
    <w:rsid w:val="00A31984"/>
    <w:rsid w:val="00A32D73"/>
    <w:rsid w:val="00A3367B"/>
    <w:rsid w:val="00A3597D"/>
    <w:rsid w:val="00A36DD1"/>
    <w:rsid w:val="00A372AB"/>
    <w:rsid w:val="00A4006C"/>
    <w:rsid w:val="00A40091"/>
    <w:rsid w:val="00A4030F"/>
    <w:rsid w:val="00A41C79"/>
    <w:rsid w:val="00A41CB5"/>
    <w:rsid w:val="00A42362"/>
    <w:rsid w:val="00A42CDF"/>
    <w:rsid w:val="00A4376D"/>
    <w:rsid w:val="00A4452E"/>
    <w:rsid w:val="00A4472C"/>
    <w:rsid w:val="00A44E69"/>
    <w:rsid w:val="00A4661E"/>
    <w:rsid w:val="00A46BDC"/>
    <w:rsid w:val="00A46CC6"/>
    <w:rsid w:val="00A47D70"/>
    <w:rsid w:val="00A5051E"/>
    <w:rsid w:val="00A535D4"/>
    <w:rsid w:val="00A54CD0"/>
    <w:rsid w:val="00A55BD6"/>
    <w:rsid w:val="00A55D50"/>
    <w:rsid w:val="00A57142"/>
    <w:rsid w:val="00A64010"/>
    <w:rsid w:val="00A648CD"/>
    <w:rsid w:val="00A6537A"/>
    <w:rsid w:val="00A6662E"/>
    <w:rsid w:val="00A67866"/>
    <w:rsid w:val="00A70B07"/>
    <w:rsid w:val="00A7120B"/>
    <w:rsid w:val="00A71AAA"/>
    <w:rsid w:val="00A723F8"/>
    <w:rsid w:val="00A73E59"/>
    <w:rsid w:val="00A746D5"/>
    <w:rsid w:val="00A76D80"/>
    <w:rsid w:val="00A77561"/>
    <w:rsid w:val="00A77CCB"/>
    <w:rsid w:val="00A832B7"/>
    <w:rsid w:val="00A83D8D"/>
    <w:rsid w:val="00A8446B"/>
    <w:rsid w:val="00A846C8"/>
    <w:rsid w:val="00A8473F"/>
    <w:rsid w:val="00A862D6"/>
    <w:rsid w:val="00A86B0F"/>
    <w:rsid w:val="00A8715E"/>
    <w:rsid w:val="00A912EA"/>
    <w:rsid w:val="00A918CE"/>
    <w:rsid w:val="00A91DDA"/>
    <w:rsid w:val="00A92595"/>
    <w:rsid w:val="00A9295B"/>
    <w:rsid w:val="00A92E2D"/>
    <w:rsid w:val="00A93B09"/>
    <w:rsid w:val="00A94247"/>
    <w:rsid w:val="00A952D7"/>
    <w:rsid w:val="00A963F7"/>
    <w:rsid w:val="00A96AD8"/>
    <w:rsid w:val="00A97065"/>
    <w:rsid w:val="00AA052C"/>
    <w:rsid w:val="00AA1D0F"/>
    <w:rsid w:val="00AA1E45"/>
    <w:rsid w:val="00AA4286"/>
    <w:rsid w:val="00AA456B"/>
    <w:rsid w:val="00AA57F5"/>
    <w:rsid w:val="00AA58DC"/>
    <w:rsid w:val="00AA672E"/>
    <w:rsid w:val="00AA692A"/>
    <w:rsid w:val="00AA6EC9"/>
    <w:rsid w:val="00AA763F"/>
    <w:rsid w:val="00AA7E1D"/>
    <w:rsid w:val="00AB41D5"/>
    <w:rsid w:val="00AB4622"/>
    <w:rsid w:val="00AB6309"/>
    <w:rsid w:val="00AB6C5F"/>
    <w:rsid w:val="00AB7129"/>
    <w:rsid w:val="00AC14AF"/>
    <w:rsid w:val="00AC27A6"/>
    <w:rsid w:val="00AC2A5F"/>
    <w:rsid w:val="00AC30F7"/>
    <w:rsid w:val="00AC3A5A"/>
    <w:rsid w:val="00AC4D95"/>
    <w:rsid w:val="00AC5DF4"/>
    <w:rsid w:val="00AD0AEF"/>
    <w:rsid w:val="00AD11B7"/>
    <w:rsid w:val="00AD1A94"/>
    <w:rsid w:val="00AD1C05"/>
    <w:rsid w:val="00AD4126"/>
    <w:rsid w:val="00AD4163"/>
    <w:rsid w:val="00AD421C"/>
    <w:rsid w:val="00AD44FA"/>
    <w:rsid w:val="00AD6C88"/>
    <w:rsid w:val="00AD716A"/>
    <w:rsid w:val="00AE070A"/>
    <w:rsid w:val="00AE101C"/>
    <w:rsid w:val="00AE37E5"/>
    <w:rsid w:val="00AE4321"/>
    <w:rsid w:val="00AE51A4"/>
    <w:rsid w:val="00AE566A"/>
    <w:rsid w:val="00AE5EB4"/>
    <w:rsid w:val="00AE61A2"/>
    <w:rsid w:val="00AE67AC"/>
    <w:rsid w:val="00AE6D18"/>
    <w:rsid w:val="00AE7F50"/>
    <w:rsid w:val="00AF0C18"/>
    <w:rsid w:val="00AF16BB"/>
    <w:rsid w:val="00AF1B6A"/>
    <w:rsid w:val="00AF36E7"/>
    <w:rsid w:val="00AF383E"/>
    <w:rsid w:val="00AF47C5"/>
    <w:rsid w:val="00AF5398"/>
    <w:rsid w:val="00B02979"/>
    <w:rsid w:val="00B046C9"/>
    <w:rsid w:val="00B049AF"/>
    <w:rsid w:val="00B05F4F"/>
    <w:rsid w:val="00B06579"/>
    <w:rsid w:val="00B06F53"/>
    <w:rsid w:val="00B07242"/>
    <w:rsid w:val="00B1045E"/>
    <w:rsid w:val="00B10534"/>
    <w:rsid w:val="00B11053"/>
    <w:rsid w:val="00B113DB"/>
    <w:rsid w:val="00B11D8A"/>
    <w:rsid w:val="00B128D4"/>
    <w:rsid w:val="00B12981"/>
    <w:rsid w:val="00B12CBF"/>
    <w:rsid w:val="00B13386"/>
    <w:rsid w:val="00B13961"/>
    <w:rsid w:val="00B147DD"/>
    <w:rsid w:val="00B14DE4"/>
    <w:rsid w:val="00B156FD"/>
    <w:rsid w:val="00B163AA"/>
    <w:rsid w:val="00B16726"/>
    <w:rsid w:val="00B17B95"/>
    <w:rsid w:val="00B20672"/>
    <w:rsid w:val="00B21F61"/>
    <w:rsid w:val="00B22B9E"/>
    <w:rsid w:val="00B235A5"/>
    <w:rsid w:val="00B24B90"/>
    <w:rsid w:val="00B261F1"/>
    <w:rsid w:val="00B265BC"/>
    <w:rsid w:val="00B30AC5"/>
    <w:rsid w:val="00B30B61"/>
    <w:rsid w:val="00B30D92"/>
    <w:rsid w:val="00B31FB1"/>
    <w:rsid w:val="00B329A1"/>
    <w:rsid w:val="00B33952"/>
    <w:rsid w:val="00B33C5E"/>
    <w:rsid w:val="00B33E8A"/>
    <w:rsid w:val="00B342F4"/>
    <w:rsid w:val="00B34369"/>
    <w:rsid w:val="00B34BA9"/>
    <w:rsid w:val="00B34DC2"/>
    <w:rsid w:val="00B378E5"/>
    <w:rsid w:val="00B37B21"/>
    <w:rsid w:val="00B401BE"/>
    <w:rsid w:val="00B4118F"/>
    <w:rsid w:val="00B4346D"/>
    <w:rsid w:val="00B440F4"/>
    <w:rsid w:val="00B447A5"/>
    <w:rsid w:val="00B4654C"/>
    <w:rsid w:val="00B46AF0"/>
    <w:rsid w:val="00B47293"/>
    <w:rsid w:val="00B508B1"/>
    <w:rsid w:val="00B50E50"/>
    <w:rsid w:val="00B5164F"/>
    <w:rsid w:val="00B52120"/>
    <w:rsid w:val="00B5369D"/>
    <w:rsid w:val="00B53FCF"/>
    <w:rsid w:val="00B54033"/>
    <w:rsid w:val="00B54ABC"/>
    <w:rsid w:val="00B54DDE"/>
    <w:rsid w:val="00B56FBE"/>
    <w:rsid w:val="00B572D1"/>
    <w:rsid w:val="00B57872"/>
    <w:rsid w:val="00B60ACF"/>
    <w:rsid w:val="00B60FB9"/>
    <w:rsid w:val="00B62AD3"/>
    <w:rsid w:val="00B62B58"/>
    <w:rsid w:val="00B62C34"/>
    <w:rsid w:val="00B64AA3"/>
    <w:rsid w:val="00B65105"/>
    <w:rsid w:val="00B65149"/>
    <w:rsid w:val="00B65753"/>
    <w:rsid w:val="00B6576B"/>
    <w:rsid w:val="00B66567"/>
    <w:rsid w:val="00B66A7A"/>
    <w:rsid w:val="00B66F52"/>
    <w:rsid w:val="00B66FE5"/>
    <w:rsid w:val="00B67ABD"/>
    <w:rsid w:val="00B71663"/>
    <w:rsid w:val="00B72880"/>
    <w:rsid w:val="00B74341"/>
    <w:rsid w:val="00B7529E"/>
    <w:rsid w:val="00B758BF"/>
    <w:rsid w:val="00B75A7A"/>
    <w:rsid w:val="00B75B51"/>
    <w:rsid w:val="00B76DFB"/>
    <w:rsid w:val="00B77EC8"/>
    <w:rsid w:val="00B81B1D"/>
    <w:rsid w:val="00B824E7"/>
    <w:rsid w:val="00B827A6"/>
    <w:rsid w:val="00B831CE"/>
    <w:rsid w:val="00B843C8"/>
    <w:rsid w:val="00B86677"/>
    <w:rsid w:val="00B866E8"/>
    <w:rsid w:val="00B86EAA"/>
    <w:rsid w:val="00B87131"/>
    <w:rsid w:val="00B87321"/>
    <w:rsid w:val="00B8739F"/>
    <w:rsid w:val="00B91460"/>
    <w:rsid w:val="00B939B1"/>
    <w:rsid w:val="00B93D7E"/>
    <w:rsid w:val="00B96D40"/>
    <w:rsid w:val="00B97386"/>
    <w:rsid w:val="00B977E2"/>
    <w:rsid w:val="00BA192E"/>
    <w:rsid w:val="00BA22D4"/>
    <w:rsid w:val="00BA263B"/>
    <w:rsid w:val="00BA28C9"/>
    <w:rsid w:val="00BA3CA5"/>
    <w:rsid w:val="00BA40F6"/>
    <w:rsid w:val="00BA42B2"/>
    <w:rsid w:val="00BA4BF3"/>
    <w:rsid w:val="00BA5821"/>
    <w:rsid w:val="00BA58D4"/>
    <w:rsid w:val="00BA5B9E"/>
    <w:rsid w:val="00BA7C9A"/>
    <w:rsid w:val="00BB1AEE"/>
    <w:rsid w:val="00BB203B"/>
    <w:rsid w:val="00BB3868"/>
    <w:rsid w:val="00BB3BBF"/>
    <w:rsid w:val="00BB3DB7"/>
    <w:rsid w:val="00BB5C1E"/>
    <w:rsid w:val="00BB5F8F"/>
    <w:rsid w:val="00BB657A"/>
    <w:rsid w:val="00BB7D19"/>
    <w:rsid w:val="00BC0B7C"/>
    <w:rsid w:val="00BC1A4E"/>
    <w:rsid w:val="00BC29E9"/>
    <w:rsid w:val="00BC3591"/>
    <w:rsid w:val="00BC35D1"/>
    <w:rsid w:val="00BC4790"/>
    <w:rsid w:val="00BC5A1B"/>
    <w:rsid w:val="00BC5DC7"/>
    <w:rsid w:val="00BC6B8B"/>
    <w:rsid w:val="00BC73D8"/>
    <w:rsid w:val="00BC77CB"/>
    <w:rsid w:val="00BC7F9F"/>
    <w:rsid w:val="00BD1DD8"/>
    <w:rsid w:val="00BD278C"/>
    <w:rsid w:val="00BD29B1"/>
    <w:rsid w:val="00BD329D"/>
    <w:rsid w:val="00BD3995"/>
    <w:rsid w:val="00BD52D7"/>
    <w:rsid w:val="00BD5AD2"/>
    <w:rsid w:val="00BD75B3"/>
    <w:rsid w:val="00BE0489"/>
    <w:rsid w:val="00BE0BC3"/>
    <w:rsid w:val="00BE1CE3"/>
    <w:rsid w:val="00BE22F3"/>
    <w:rsid w:val="00BE2ED0"/>
    <w:rsid w:val="00BE5B52"/>
    <w:rsid w:val="00BE7B8D"/>
    <w:rsid w:val="00BF0993"/>
    <w:rsid w:val="00BF10A9"/>
    <w:rsid w:val="00BF1703"/>
    <w:rsid w:val="00BF1E22"/>
    <w:rsid w:val="00BF231C"/>
    <w:rsid w:val="00BF3F05"/>
    <w:rsid w:val="00BF51E5"/>
    <w:rsid w:val="00BF5737"/>
    <w:rsid w:val="00BF74A6"/>
    <w:rsid w:val="00BF7502"/>
    <w:rsid w:val="00BF7628"/>
    <w:rsid w:val="00C003F8"/>
    <w:rsid w:val="00C00D77"/>
    <w:rsid w:val="00C011C5"/>
    <w:rsid w:val="00C013AD"/>
    <w:rsid w:val="00C01545"/>
    <w:rsid w:val="00C01D80"/>
    <w:rsid w:val="00C04904"/>
    <w:rsid w:val="00C056B3"/>
    <w:rsid w:val="00C103E5"/>
    <w:rsid w:val="00C13319"/>
    <w:rsid w:val="00C13EE9"/>
    <w:rsid w:val="00C15F05"/>
    <w:rsid w:val="00C21540"/>
    <w:rsid w:val="00C21906"/>
    <w:rsid w:val="00C21BFA"/>
    <w:rsid w:val="00C22148"/>
    <w:rsid w:val="00C22D16"/>
    <w:rsid w:val="00C23498"/>
    <w:rsid w:val="00C243A9"/>
    <w:rsid w:val="00C24B55"/>
    <w:rsid w:val="00C24C8D"/>
    <w:rsid w:val="00C25642"/>
    <w:rsid w:val="00C25A18"/>
    <w:rsid w:val="00C25EA2"/>
    <w:rsid w:val="00C25FE2"/>
    <w:rsid w:val="00C26B53"/>
    <w:rsid w:val="00C279B2"/>
    <w:rsid w:val="00C27F3D"/>
    <w:rsid w:val="00C3035E"/>
    <w:rsid w:val="00C33B88"/>
    <w:rsid w:val="00C33E27"/>
    <w:rsid w:val="00C33E50"/>
    <w:rsid w:val="00C346C2"/>
    <w:rsid w:val="00C34C20"/>
    <w:rsid w:val="00C35A3E"/>
    <w:rsid w:val="00C360C6"/>
    <w:rsid w:val="00C36713"/>
    <w:rsid w:val="00C40434"/>
    <w:rsid w:val="00C40BAC"/>
    <w:rsid w:val="00C42130"/>
    <w:rsid w:val="00C423A4"/>
    <w:rsid w:val="00C424CD"/>
    <w:rsid w:val="00C44BF5"/>
    <w:rsid w:val="00C4572C"/>
    <w:rsid w:val="00C506F6"/>
    <w:rsid w:val="00C521D6"/>
    <w:rsid w:val="00C53015"/>
    <w:rsid w:val="00C5504E"/>
    <w:rsid w:val="00C55080"/>
    <w:rsid w:val="00C55232"/>
    <w:rsid w:val="00C553A4"/>
    <w:rsid w:val="00C55A06"/>
    <w:rsid w:val="00C55D03"/>
    <w:rsid w:val="00C55D98"/>
    <w:rsid w:val="00C601BC"/>
    <w:rsid w:val="00C6048A"/>
    <w:rsid w:val="00C6070D"/>
    <w:rsid w:val="00C6329F"/>
    <w:rsid w:val="00C63340"/>
    <w:rsid w:val="00C64378"/>
    <w:rsid w:val="00C643F9"/>
    <w:rsid w:val="00C64E95"/>
    <w:rsid w:val="00C65138"/>
    <w:rsid w:val="00C71372"/>
    <w:rsid w:val="00C72410"/>
    <w:rsid w:val="00C7287F"/>
    <w:rsid w:val="00C75CD8"/>
    <w:rsid w:val="00C7625B"/>
    <w:rsid w:val="00C80982"/>
    <w:rsid w:val="00C80CB8"/>
    <w:rsid w:val="00C811B6"/>
    <w:rsid w:val="00C8129F"/>
    <w:rsid w:val="00C819F8"/>
    <w:rsid w:val="00C81FD6"/>
    <w:rsid w:val="00C8248C"/>
    <w:rsid w:val="00C84E33"/>
    <w:rsid w:val="00C86088"/>
    <w:rsid w:val="00C862DF"/>
    <w:rsid w:val="00C86D6F"/>
    <w:rsid w:val="00C905FC"/>
    <w:rsid w:val="00C910C6"/>
    <w:rsid w:val="00C91E56"/>
    <w:rsid w:val="00C92D03"/>
    <w:rsid w:val="00C9319C"/>
    <w:rsid w:val="00C9435D"/>
    <w:rsid w:val="00C94751"/>
    <w:rsid w:val="00C94DF2"/>
    <w:rsid w:val="00C95E91"/>
    <w:rsid w:val="00C96741"/>
    <w:rsid w:val="00CA2D1B"/>
    <w:rsid w:val="00CA375D"/>
    <w:rsid w:val="00CA394A"/>
    <w:rsid w:val="00CA6406"/>
    <w:rsid w:val="00CA662A"/>
    <w:rsid w:val="00CA670D"/>
    <w:rsid w:val="00CA682C"/>
    <w:rsid w:val="00CA7AFD"/>
    <w:rsid w:val="00CA7C3C"/>
    <w:rsid w:val="00CB0189"/>
    <w:rsid w:val="00CB0BA2"/>
    <w:rsid w:val="00CB1A42"/>
    <w:rsid w:val="00CB1B0C"/>
    <w:rsid w:val="00CB2C0B"/>
    <w:rsid w:val="00CB40EE"/>
    <w:rsid w:val="00CB517D"/>
    <w:rsid w:val="00CB681C"/>
    <w:rsid w:val="00CC038D"/>
    <w:rsid w:val="00CC08DB"/>
    <w:rsid w:val="00CC2E54"/>
    <w:rsid w:val="00CC39FF"/>
    <w:rsid w:val="00CC3C2F"/>
    <w:rsid w:val="00CC4AC8"/>
    <w:rsid w:val="00CC5233"/>
    <w:rsid w:val="00CC5DE6"/>
    <w:rsid w:val="00CC6E4E"/>
    <w:rsid w:val="00CC6FE8"/>
    <w:rsid w:val="00CC7202"/>
    <w:rsid w:val="00CC7449"/>
    <w:rsid w:val="00CC78CA"/>
    <w:rsid w:val="00CD00B6"/>
    <w:rsid w:val="00CD2808"/>
    <w:rsid w:val="00CD28BF"/>
    <w:rsid w:val="00CD4092"/>
    <w:rsid w:val="00CD4A20"/>
    <w:rsid w:val="00CD4EE5"/>
    <w:rsid w:val="00CD50A1"/>
    <w:rsid w:val="00CD519E"/>
    <w:rsid w:val="00CD561D"/>
    <w:rsid w:val="00CE0C4F"/>
    <w:rsid w:val="00CE2928"/>
    <w:rsid w:val="00CE30EA"/>
    <w:rsid w:val="00CE4741"/>
    <w:rsid w:val="00CE5D38"/>
    <w:rsid w:val="00CF048A"/>
    <w:rsid w:val="00CF1095"/>
    <w:rsid w:val="00CF155A"/>
    <w:rsid w:val="00CF2947"/>
    <w:rsid w:val="00CF3281"/>
    <w:rsid w:val="00CF5CEF"/>
    <w:rsid w:val="00CF686F"/>
    <w:rsid w:val="00CF6E60"/>
    <w:rsid w:val="00CF7BCA"/>
    <w:rsid w:val="00D008FD"/>
    <w:rsid w:val="00D0321C"/>
    <w:rsid w:val="00D035EC"/>
    <w:rsid w:val="00D0377B"/>
    <w:rsid w:val="00D0540F"/>
    <w:rsid w:val="00D05463"/>
    <w:rsid w:val="00D06AB1"/>
    <w:rsid w:val="00D072ED"/>
    <w:rsid w:val="00D07A16"/>
    <w:rsid w:val="00D1067E"/>
    <w:rsid w:val="00D10F50"/>
    <w:rsid w:val="00D11272"/>
    <w:rsid w:val="00D126F5"/>
    <w:rsid w:val="00D13AF7"/>
    <w:rsid w:val="00D1486E"/>
    <w:rsid w:val="00D1489E"/>
    <w:rsid w:val="00D15CDB"/>
    <w:rsid w:val="00D20737"/>
    <w:rsid w:val="00D20E9D"/>
    <w:rsid w:val="00D210E8"/>
    <w:rsid w:val="00D213D9"/>
    <w:rsid w:val="00D21640"/>
    <w:rsid w:val="00D21E81"/>
    <w:rsid w:val="00D223DE"/>
    <w:rsid w:val="00D22412"/>
    <w:rsid w:val="00D25E37"/>
    <w:rsid w:val="00D2661A"/>
    <w:rsid w:val="00D27582"/>
    <w:rsid w:val="00D27EC4"/>
    <w:rsid w:val="00D3002C"/>
    <w:rsid w:val="00D31702"/>
    <w:rsid w:val="00D32719"/>
    <w:rsid w:val="00D33333"/>
    <w:rsid w:val="00D33457"/>
    <w:rsid w:val="00D34EA2"/>
    <w:rsid w:val="00D352A2"/>
    <w:rsid w:val="00D3660F"/>
    <w:rsid w:val="00D4162B"/>
    <w:rsid w:val="00D428B6"/>
    <w:rsid w:val="00D45070"/>
    <w:rsid w:val="00D4514F"/>
    <w:rsid w:val="00D451E2"/>
    <w:rsid w:val="00D45E89"/>
    <w:rsid w:val="00D45E8D"/>
    <w:rsid w:val="00D46554"/>
    <w:rsid w:val="00D466AE"/>
    <w:rsid w:val="00D471CE"/>
    <w:rsid w:val="00D4734F"/>
    <w:rsid w:val="00D5096C"/>
    <w:rsid w:val="00D5107C"/>
    <w:rsid w:val="00D51BF3"/>
    <w:rsid w:val="00D6015E"/>
    <w:rsid w:val="00D60B96"/>
    <w:rsid w:val="00D621C6"/>
    <w:rsid w:val="00D635F3"/>
    <w:rsid w:val="00D65351"/>
    <w:rsid w:val="00D66846"/>
    <w:rsid w:val="00D675FB"/>
    <w:rsid w:val="00D71A22"/>
    <w:rsid w:val="00D71B24"/>
    <w:rsid w:val="00D71EFD"/>
    <w:rsid w:val="00D71F25"/>
    <w:rsid w:val="00D723CF"/>
    <w:rsid w:val="00D72A9C"/>
    <w:rsid w:val="00D77031"/>
    <w:rsid w:val="00D84941"/>
    <w:rsid w:val="00D84FA1"/>
    <w:rsid w:val="00D851F0"/>
    <w:rsid w:val="00D8533C"/>
    <w:rsid w:val="00D86DB7"/>
    <w:rsid w:val="00D86DE5"/>
    <w:rsid w:val="00D91B7F"/>
    <w:rsid w:val="00D926D0"/>
    <w:rsid w:val="00D93030"/>
    <w:rsid w:val="00D950E1"/>
    <w:rsid w:val="00D952A6"/>
    <w:rsid w:val="00D96DA9"/>
    <w:rsid w:val="00D97427"/>
    <w:rsid w:val="00D97F99"/>
    <w:rsid w:val="00DA1E08"/>
    <w:rsid w:val="00DA24F8"/>
    <w:rsid w:val="00DA28E8"/>
    <w:rsid w:val="00DA29F3"/>
    <w:rsid w:val="00DA38D3"/>
    <w:rsid w:val="00DA3932"/>
    <w:rsid w:val="00DA3AFC"/>
    <w:rsid w:val="00DA5191"/>
    <w:rsid w:val="00DA540C"/>
    <w:rsid w:val="00DA64F8"/>
    <w:rsid w:val="00DA6C15"/>
    <w:rsid w:val="00DA7446"/>
    <w:rsid w:val="00DB0258"/>
    <w:rsid w:val="00DB02BD"/>
    <w:rsid w:val="00DB0892"/>
    <w:rsid w:val="00DB11F4"/>
    <w:rsid w:val="00DB38EE"/>
    <w:rsid w:val="00DB4747"/>
    <w:rsid w:val="00DB498B"/>
    <w:rsid w:val="00DB66CA"/>
    <w:rsid w:val="00DB6BCA"/>
    <w:rsid w:val="00DB73F7"/>
    <w:rsid w:val="00DC0321"/>
    <w:rsid w:val="00DC29E0"/>
    <w:rsid w:val="00DC2F99"/>
    <w:rsid w:val="00DC3067"/>
    <w:rsid w:val="00DC32A6"/>
    <w:rsid w:val="00DC370B"/>
    <w:rsid w:val="00DC4538"/>
    <w:rsid w:val="00DC5B90"/>
    <w:rsid w:val="00DC5BE2"/>
    <w:rsid w:val="00DD00FF"/>
    <w:rsid w:val="00DD0619"/>
    <w:rsid w:val="00DD07FB"/>
    <w:rsid w:val="00DD25C6"/>
    <w:rsid w:val="00DD2F8D"/>
    <w:rsid w:val="00DD4EAF"/>
    <w:rsid w:val="00DD4FE5"/>
    <w:rsid w:val="00DD5369"/>
    <w:rsid w:val="00DD54B0"/>
    <w:rsid w:val="00DD57EE"/>
    <w:rsid w:val="00DD6BCC"/>
    <w:rsid w:val="00DD7907"/>
    <w:rsid w:val="00DD7D80"/>
    <w:rsid w:val="00DE0A4B"/>
    <w:rsid w:val="00DE0FC4"/>
    <w:rsid w:val="00DE2410"/>
    <w:rsid w:val="00DE2939"/>
    <w:rsid w:val="00DE3918"/>
    <w:rsid w:val="00DE4EA3"/>
    <w:rsid w:val="00DE527D"/>
    <w:rsid w:val="00DE68DA"/>
    <w:rsid w:val="00DE6E81"/>
    <w:rsid w:val="00DE703F"/>
    <w:rsid w:val="00DE7595"/>
    <w:rsid w:val="00DF0CD5"/>
    <w:rsid w:val="00DF1961"/>
    <w:rsid w:val="00DF20F6"/>
    <w:rsid w:val="00DF44DE"/>
    <w:rsid w:val="00DF5F11"/>
    <w:rsid w:val="00DF62C1"/>
    <w:rsid w:val="00E01138"/>
    <w:rsid w:val="00E01CC2"/>
    <w:rsid w:val="00E02DFB"/>
    <w:rsid w:val="00E030F9"/>
    <w:rsid w:val="00E03113"/>
    <w:rsid w:val="00E0311A"/>
    <w:rsid w:val="00E03138"/>
    <w:rsid w:val="00E06404"/>
    <w:rsid w:val="00E065D2"/>
    <w:rsid w:val="00E104DC"/>
    <w:rsid w:val="00E10D7C"/>
    <w:rsid w:val="00E115FA"/>
    <w:rsid w:val="00E118A2"/>
    <w:rsid w:val="00E11A85"/>
    <w:rsid w:val="00E12495"/>
    <w:rsid w:val="00E142A0"/>
    <w:rsid w:val="00E15CCD"/>
    <w:rsid w:val="00E15D30"/>
    <w:rsid w:val="00E16A11"/>
    <w:rsid w:val="00E17394"/>
    <w:rsid w:val="00E202EF"/>
    <w:rsid w:val="00E210B5"/>
    <w:rsid w:val="00E2240F"/>
    <w:rsid w:val="00E23D99"/>
    <w:rsid w:val="00E2419B"/>
    <w:rsid w:val="00E2552F"/>
    <w:rsid w:val="00E27E7C"/>
    <w:rsid w:val="00E3137A"/>
    <w:rsid w:val="00E3137C"/>
    <w:rsid w:val="00E32CCF"/>
    <w:rsid w:val="00E32EE8"/>
    <w:rsid w:val="00E331A4"/>
    <w:rsid w:val="00E33EF6"/>
    <w:rsid w:val="00E34A98"/>
    <w:rsid w:val="00E352CB"/>
    <w:rsid w:val="00E357D5"/>
    <w:rsid w:val="00E35D1E"/>
    <w:rsid w:val="00E364F9"/>
    <w:rsid w:val="00E365FA"/>
    <w:rsid w:val="00E36789"/>
    <w:rsid w:val="00E418B8"/>
    <w:rsid w:val="00E42EA3"/>
    <w:rsid w:val="00E441E4"/>
    <w:rsid w:val="00E44A83"/>
    <w:rsid w:val="00E502C1"/>
    <w:rsid w:val="00E502DD"/>
    <w:rsid w:val="00E50D3A"/>
    <w:rsid w:val="00E51387"/>
    <w:rsid w:val="00E516CD"/>
    <w:rsid w:val="00E518DB"/>
    <w:rsid w:val="00E51A38"/>
    <w:rsid w:val="00E51E68"/>
    <w:rsid w:val="00E52EFD"/>
    <w:rsid w:val="00E5408A"/>
    <w:rsid w:val="00E54953"/>
    <w:rsid w:val="00E54D0F"/>
    <w:rsid w:val="00E56800"/>
    <w:rsid w:val="00E60C63"/>
    <w:rsid w:val="00E622CD"/>
    <w:rsid w:val="00E62FF9"/>
    <w:rsid w:val="00E635D6"/>
    <w:rsid w:val="00E639BC"/>
    <w:rsid w:val="00E664CC"/>
    <w:rsid w:val="00E6711B"/>
    <w:rsid w:val="00E70388"/>
    <w:rsid w:val="00E70F92"/>
    <w:rsid w:val="00E7119D"/>
    <w:rsid w:val="00E714AC"/>
    <w:rsid w:val="00E7239D"/>
    <w:rsid w:val="00E73341"/>
    <w:rsid w:val="00E73D9A"/>
    <w:rsid w:val="00E74C54"/>
    <w:rsid w:val="00E77A03"/>
    <w:rsid w:val="00E81F51"/>
    <w:rsid w:val="00E82051"/>
    <w:rsid w:val="00E822E8"/>
    <w:rsid w:val="00E82554"/>
    <w:rsid w:val="00E82606"/>
    <w:rsid w:val="00E83724"/>
    <w:rsid w:val="00E840F2"/>
    <w:rsid w:val="00E846C8"/>
    <w:rsid w:val="00E84957"/>
    <w:rsid w:val="00E84A55"/>
    <w:rsid w:val="00E85726"/>
    <w:rsid w:val="00E85BFF"/>
    <w:rsid w:val="00E86E46"/>
    <w:rsid w:val="00E877E9"/>
    <w:rsid w:val="00E87C3E"/>
    <w:rsid w:val="00E90391"/>
    <w:rsid w:val="00E906C2"/>
    <w:rsid w:val="00E9198A"/>
    <w:rsid w:val="00E9311F"/>
    <w:rsid w:val="00E934D1"/>
    <w:rsid w:val="00E94AF0"/>
    <w:rsid w:val="00E95122"/>
    <w:rsid w:val="00E95D13"/>
    <w:rsid w:val="00E95DD3"/>
    <w:rsid w:val="00E969D5"/>
    <w:rsid w:val="00E96B53"/>
    <w:rsid w:val="00E972C5"/>
    <w:rsid w:val="00EA2882"/>
    <w:rsid w:val="00EA2AD9"/>
    <w:rsid w:val="00EA58D1"/>
    <w:rsid w:val="00EA61BC"/>
    <w:rsid w:val="00EA625B"/>
    <w:rsid w:val="00EA681A"/>
    <w:rsid w:val="00EA735B"/>
    <w:rsid w:val="00EB0324"/>
    <w:rsid w:val="00EB17DE"/>
    <w:rsid w:val="00EB1E69"/>
    <w:rsid w:val="00EB2086"/>
    <w:rsid w:val="00EB3C92"/>
    <w:rsid w:val="00EB3D0A"/>
    <w:rsid w:val="00EB5368"/>
    <w:rsid w:val="00EB5718"/>
    <w:rsid w:val="00EB5EDF"/>
    <w:rsid w:val="00EB60FE"/>
    <w:rsid w:val="00EB68AF"/>
    <w:rsid w:val="00EB68C2"/>
    <w:rsid w:val="00EB74DB"/>
    <w:rsid w:val="00EC0C62"/>
    <w:rsid w:val="00EC0D5F"/>
    <w:rsid w:val="00EC2342"/>
    <w:rsid w:val="00EC392C"/>
    <w:rsid w:val="00EC44B3"/>
    <w:rsid w:val="00EC5359"/>
    <w:rsid w:val="00EC562A"/>
    <w:rsid w:val="00EC6FB4"/>
    <w:rsid w:val="00EC7A60"/>
    <w:rsid w:val="00ED067A"/>
    <w:rsid w:val="00ED2B50"/>
    <w:rsid w:val="00ED591C"/>
    <w:rsid w:val="00ED651C"/>
    <w:rsid w:val="00ED6BED"/>
    <w:rsid w:val="00EE0350"/>
    <w:rsid w:val="00EE0719"/>
    <w:rsid w:val="00EE0E80"/>
    <w:rsid w:val="00EE3450"/>
    <w:rsid w:val="00EE54A6"/>
    <w:rsid w:val="00EE613F"/>
    <w:rsid w:val="00EE7295"/>
    <w:rsid w:val="00EE7869"/>
    <w:rsid w:val="00EF054A"/>
    <w:rsid w:val="00EF15A8"/>
    <w:rsid w:val="00EF2BC8"/>
    <w:rsid w:val="00EF31CC"/>
    <w:rsid w:val="00EF3235"/>
    <w:rsid w:val="00EF35CA"/>
    <w:rsid w:val="00EF3D77"/>
    <w:rsid w:val="00EF7E72"/>
    <w:rsid w:val="00F011E6"/>
    <w:rsid w:val="00F01230"/>
    <w:rsid w:val="00F01334"/>
    <w:rsid w:val="00F03A7F"/>
    <w:rsid w:val="00F057F5"/>
    <w:rsid w:val="00F06D37"/>
    <w:rsid w:val="00F07860"/>
    <w:rsid w:val="00F07B9D"/>
    <w:rsid w:val="00F11586"/>
    <w:rsid w:val="00F1183B"/>
    <w:rsid w:val="00F11A5C"/>
    <w:rsid w:val="00F11C9F"/>
    <w:rsid w:val="00F12263"/>
    <w:rsid w:val="00F12608"/>
    <w:rsid w:val="00F135F1"/>
    <w:rsid w:val="00F1409D"/>
    <w:rsid w:val="00F14214"/>
    <w:rsid w:val="00F157A9"/>
    <w:rsid w:val="00F1594E"/>
    <w:rsid w:val="00F17264"/>
    <w:rsid w:val="00F17C3C"/>
    <w:rsid w:val="00F22FCA"/>
    <w:rsid w:val="00F23D3C"/>
    <w:rsid w:val="00F24533"/>
    <w:rsid w:val="00F25BB6"/>
    <w:rsid w:val="00F26B7E"/>
    <w:rsid w:val="00F2709F"/>
    <w:rsid w:val="00F27A3B"/>
    <w:rsid w:val="00F30788"/>
    <w:rsid w:val="00F31EBD"/>
    <w:rsid w:val="00F33817"/>
    <w:rsid w:val="00F36F3D"/>
    <w:rsid w:val="00F3763D"/>
    <w:rsid w:val="00F3799A"/>
    <w:rsid w:val="00F402B2"/>
    <w:rsid w:val="00F41365"/>
    <w:rsid w:val="00F420D5"/>
    <w:rsid w:val="00F431BE"/>
    <w:rsid w:val="00F43F9A"/>
    <w:rsid w:val="00F451EA"/>
    <w:rsid w:val="00F45447"/>
    <w:rsid w:val="00F456C6"/>
    <w:rsid w:val="00F4577B"/>
    <w:rsid w:val="00F459E9"/>
    <w:rsid w:val="00F463D0"/>
    <w:rsid w:val="00F46496"/>
    <w:rsid w:val="00F46BC1"/>
    <w:rsid w:val="00F474D0"/>
    <w:rsid w:val="00F50179"/>
    <w:rsid w:val="00F5050E"/>
    <w:rsid w:val="00F515EE"/>
    <w:rsid w:val="00F537E5"/>
    <w:rsid w:val="00F56511"/>
    <w:rsid w:val="00F57D28"/>
    <w:rsid w:val="00F6194E"/>
    <w:rsid w:val="00F623AC"/>
    <w:rsid w:val="00F62517"/>
    <w:rsid w:val="00F6412A"/>
    <w:rsid w:val="00F6472F"/>
    <w:rsid w:val="00F65893"/>
    <w:rsid w:val="00F66A4A"/>
    <w:rsid w:val="00F67F68"/>
    <w:rsid w:val="00F71E22"/>
    <w:rsid w:val="00F72142"/>
    <w:rsid w:val="00F72AE7"/>
    <w:rsid w:val="00F75C23"/>
    <w:rsid w:val="00F7761E"/>
    <w:rsid w:val="00F77EC5"/>
    <w:rsid w:val="00F81141"/>
    <w:rsid w:val="00F833BA"/>
    <w:rsid w:val="00F84E6F"/>
    <w:rsid w:val="00F84FD0"/>
    <w:rsid w:val="00F859A8"/>
    <w:rsid w:val="00F85D29"/>
    <w:rsid w:val="00F86D87"/>
    <w:rsid w:val="00F9108B"/>
    <w:rsid w:val="00F91349"/>
    <w:rsid w:val="00F93A8A"/>
    <w:rsid w:val="00F95248"/>
    <w:rsid w:val="00F956A9"/>
    <w:rsid w:val="00F963ED"/>
    <w:rsid w:val="00F966CF"/>
    <w:rsid w:val="00F96CAE"/>
    <w:rsid w:val="00F97C99"/>
    <w:rsid w:val="00FA032A"/>
    <w:rsid w:val="00FA05C0"/>
    <w:rsid w:val="00FA0EFD"/>
    <w:rsid w:val="00FA4DAC"/>
    <w:rsid w:val="00FA507F"/>
    <w:rsid w:val="00FA662D"/>
    <w:rsid w:val="00FA6F5A"/>
    <w:rsid w:val="00FA73B1"/>
    <w:rsid w:val="00FA7A98"/>
    <w:rsid w:val="00FB01F5"/>
    <w:rsid w:val="00FB0CB9"/>
    <w:rsid w:val="00FB231D"/>
    <w:rsid w:val="00FB45F1"/>
    <w:rsid w:val="00FB4A72"/>
    <w:rsid w:val="00FB54E8"/>
    <w:rsid w:val="00FB58AC"/>
    <w:rsid w:val="00FB5AA3"/>
    <w:rsid w:val="00FB7054"/>
    <w:rsid w:val="00FB7385"/>
    <w:rsid w:val="00FC0FF0"/>
    <w:rsid w:val="00FC13DB"/>
    <w:rsid w:val="00FC17B7"/>
    <w:rsid w:val="00FC2CB7"/>
    <w:rsid w:val="00FC3007"/>
    <w:rsid w:val="00FC329B"/>
    <w:rsid w:val="00FC4090"/>
    <w:rsid w:val="00FC4460"/>
    <w:rsid w:val="00FC516E"/>
    <w:rsid w:val="00FC55B4"/>
    <w:rsid w:val="00FC7A7D"/>
    <w:rsid w:val="00FD00E6"/>
    <w:rsid w:val="00FD035F"/>
    <w:rsid w:val="00FD09A1"/>
    <w:rsid w:val="00FD2850"/>
    <w:rsid w:val="00FD2A7C"/>
    <w:rsid w:val="00FD35DA"/>
    <w:rsid w:val="00FD59EB"/>
    <w:rsid w:val="00FD7299"/>
    <w:rsid w:val="00FD77CD"/>
    <w:rsid w:val="00FE1FBE"/>
    <w:rsid w:val="00FE204F"/>
    <w:rsid w:val="00FE21B9"/>
    <w:rsid w:val="00FE2CC9"/>
    <w:rsid w:val="00FE3901"/>
    <w:rsid w:val="00FE39D3"/>
    <w:rsid w:val="00FE461B"/>
    <w:rsid w:val="00FE4780"/>
    <w:rsid w:val="00FE4BCE"/>
    <w:rsid w:val="00FE54AE"/>
    <w:rsid w:val="00FE576A"/>
    <w:rsid w:val="00FE68A0"/>
    <w:rsid w:val="00FE6B62"/>
    <w:rsid w:val="00FE7AC4"/>
    <w:rsid w:val="00FE7C85"/>
    <w:rsid w:val="00FE7E79"/>
    <w:rsid w:val="00FF2EC4"/>
    <w:rsid w:val="00FF3B0B"/>
    <w:rsid w:val="00FF3E7D"/>
    <w:rsid w:val="00FF5358"/>
    <w:rsid w:val="00FF5843"/>
    <w:rsid w:val="00FF5B99"/>
    <w:rsid w:val="00FF730C"/>
    <w:rsid w:val="00FF73F4"/>
    <w:rsid w:val="00FF7CE4"/>
    <w:rsid w:val="00FF7E39"/>
    <w:rsid w:val="20A8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2126"/>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3261"/>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BAB912150E48B49CFC3C50D8CE8B36"/>
        <w:style w:val=""/>
        <w:category>
          <w:name w:val="常规"/>
          <w:gallery w:val="placeholder"/>
        </w:category>
        <w:types>
          <w:type w:val="bbPlcHdr"/>
        </w:types>
        <w:behaviors>
          <w:behavior w:val="content"/>
        </w:behaviors>
        <w:description w:val=""/>
        <w:guid w:val="{A5C70E6B-A97D-4EF6-95C4-031350381B09}"/>
      </w:docPartPr>
      <w:docPartBody>
        <w:p w14:paraId="3B76BD55">
          <w:pPr>
            <w:pStyle w:val="5"/>
          </w:pPr>
          <w:r>
            <w:rPr>
              <w:rStyle w:val="4"/>
              <w:rFonts w:hint="eastAsia"/>
            </w:rPr>
            <w:t>单击或点击此处输入文字。</w:t>
          </w:r>
        </w:p>
      </w:docPartBody>
    </w:docPart>
    <w:docPart>
      <w:docPartPr>
        <w:name w:val="9EC2B5D9E873421F9CE5261E7848F751"/>
        <w:style w:val=""/>
        <w:category>
          <w:name w:val="常规"/>
          <w:gallery w:val="placeholder"/>
        </w:category>
        <w:types>
          <w:type w:val="bbPlcHdr"/>
        </w:types>
        <w:behaviors>
          <w:behavior w:val="content"/>
        </w:behaviors>
        <w:description w:val=""/>
        <w:guid w:val="{3E667652-23C3-44D8-A350-615411CE9916}"/>
      </w:docPartPr>
      <w:docPartBody>
        <w:p w14:paraId="0F207DEB">
          <w:pPr>
            <w:pStyle w:val="6"/>
          </w:pPr>
          <w:r>
            <w:rPr>
              <w:rStyle w:val="4"/>
              <w:rFonts w:hint="eastAsia"/>
            </w:rPr>
            <w:t>选择一项。</w:t>
          </w:r>
        </w:p>
      </w:docPartBody>
    </w:docPart>
    <w:docPart>
      <w:docPartPr>
        <w:name w:val="C65564B183954A1A911FFD154049581B"/>
        <w:style w:val=""/>
        <w:category>
          <w:name w:val="常规"/>
          <w:gallery w:val="placeholder"/>
        </w:category>
        <w:types>
          <w:type w:val="bbPlcHdr"/>
        </w:types>
        <w:behaviors>
          <w:behavior w:val="content"/>
        </w:behaviors>
        <w:description w:val=""/>
        <w:guid w:val="{5696BE46-1472-4619-9271-6A67D8F6EE95}"/>
      </w:docPartPr>
      <w:docPartBody>
        <w:p w14:paraId="705CD2B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536"/>
    <w:rsid w:val="00014793"/>
    <w:rsid w:val="000D23A2"/>
    <w:rsid w:val="00122FAF"/>
    <w:rsid w:val="00145D9E"/>
    <w:rsid w:val="001B4305"/>
    <w:rsid w:val="002144AC"/>
    <w:rsid w:val="002D324D"/>
    <w:rsid w:val="00306084"/>
    <w:rsid w:val="004771CF"/>
    <w:rsid w:val="004E6CF0"/>
    <w:rsid w:val="00597B62"/>
    <w:rsid w:val="005C402F"/>
    <w:rsid w:val="00621A98"/>
    <w:rsid w:val="006B7672"/>
    <w:rsid w:val="00772E79"/>
    <w:rsid w:val="00774C0C"/>
    <w:rsid w:val="00831CCB"/>
    <w:rsid w:val="00883E3D"/>
    <w:rsid w:val="00886BC4"/>
    <w:rsid w:val="008A068F"/>
    <w:rsid w:val="008B7596"/>
    <w:rsid w:val="008D2BEB"/>
    <w:rsid w:val="008E7B4D"/>
    <w:rsid w:val="00933236"/>
    <w:rsid w:val="00A06E59"/>
    <w:rsid w:val="00A7734F"/>
    <w:rsid w:val="00A84C1A"/>
    <w:rsid w:val="00A862D8"/>
    <w:rsid w:val="00AD07F2"/>
    <w:rsid w:val="00AE0A48"/>
    <w:rsid w:val="00C3033A"/>
    <w:rsid w:val="00C90245"/>
    <w:rsid w:val="00D84B45"/>
    <w:rsid w:val="00D86F6B"/>
    <w:rsid w:val="00EA24C4"/>
    <w:rsid w:val="00ED7876"/>
    <w:rsid w:val="00EF5FEA"/>
    <w:rsid w:val="00F15020"/>
    <w:rsid w:val="00F85CEB"/>
    <w:rsid w:val="00F93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CBAB912150E48B49CFC3C50D8CE8B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EC2B5D9E873421F9CE5261E7848F7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5564B183954A1A911FFD154049581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DD43A8-1D04-4741-B535-2A7DD863034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2451</Words>
  <Characters>3194</Characters>
  <Lines>72</Lines>
  <Paragraphs>20</Paragraphs>
  <TotalTime>21970</TotalTime>
  <ScaleCrop>false</ScaleCrop>
  <LinksUpToDate>false</LinksUpToDate>
  <CharactersWithSpaces>3300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2024-05-24T01:53:00Z</dcterms:created>
  <dc:creator>Hui</dc:creator>
  <dc:description>&lt;config cover="true" show_menu="true" version="1.0.0" doctype="SDKXY"&gt;_x000d_
&lt;/config&gt;</dc:description>
  <cp:lastModifiedBy>mmme</cp:lastModifiedBy>
  <cp:lastPrinted>2024-05-22T09:06:00Z</cp:lastPrinted>
  <dcterms:modified xsi:type="dcterms:W3CDTF">2024-11-07T01:54:57Z</dcterms:modified>
  <dc:title>地方标准</dc:title>
  <cp:revision>515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7E178AEAC4694A51924F486D21D73C69_12</vt:lpwstr>
  </property>
</Properties>
</file>